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4ryink8vunc" w:id="0"/>
      <w:bookmarkEnd w:id="0"/>
      <w:r w:rsidDel="00000000" w:rsidR="00000000" w:rsidRPr="00000000">
        <w:rPr>
          <w:rtl w:val="0"/>
        </w:rPr>
        <w:t xml:space="preserve">Questions du Quiz (traduction complète, 2023-06-03, 9:42PM)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Qui bénéficie de l'accessibilité numérique 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Les personnes aveugles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Les personnes en situation de handicap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Tout le monde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Les personnes en situation de handicap et </w:t>
      </w:r>
      <w:r w:rsidDel="00000000" w:rsidR="00000000" w:rsidRPr="00000000">
        <w:rPr>
          <w:rtl w:val="0"/>
        </w:rPr>
        <w:t xml:space="preserve">les personnes s/Sourdes ou malentendantes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Les descriptions audio </w:t>
      </w:r>
      <w:r w:rsidDel="00000000" w:rsidR="00000000" w:rsidRPr="00000000">
        <w:rPr>
          <w:rtl w:val="0"/>
        </w:rPr>
        <w:t xml:space="preserve">s'adressent essentiellement </w:t>
      </w:r>
      <w:r w:rsidDel="00000000" w:rsidR="00000000" w:rsidRPr="00000000">
        <w:rPr>
          <w:rtl w:val="0"/>
        </w:rPr>
        <w:t xml:space="preserve">à quel groupe 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Les s/Sourds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Les personnes aveugles ou malvoyantes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Les personnes avec un handicap cognitif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Les personnes dyslexiques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À quoi servent les liens de contournement 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 liens du menu principal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 liens qui amènent les utilisateurs au contenu principal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 liens dans le pied de page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À permettre aux utilisateurs de contourner les contenus répétitifs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Les principes fondamentaux des WCAG 2.1 comprennent Utilisable, Compréhensible et Robuste. Quel est le quatrième principe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Percevable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Prévenant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Perceptible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Prévisible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Pour quels utilisateurs est-il important de permettre à la fenêtre de visualisation (viewport) d'être redimensionnée et/ou agrandie 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Pour les utilisateurs malvoyants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Pour les utilisateurs aveugles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Pour les personnes ayant une limitation de dextérité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Pour les personnes autistes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Qui bénéficie d'un repère visible au focus sur les éléments interactifs (critère 2.4.7)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Les personnes âgées</w:t>
        <w:tab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Les utilisateurs de clavier voyants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Les utilisateurs non-voyants de clavier et de lecteurs d'écran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 et B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Quel est l'objectif d’un contraste de couleurs adéquat 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Pour aider les personnes âgées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Pour faciliter la lecture du texte pour les personnes ayant une déficience visuelle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Pour s'assurer que le site web est visible dans des conditions de faible luminosité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Toutes ces réponses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Lequel des éléments suivants rendrait un site web plus accessible aux personnes avec des limitations motrices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Rendre le contenu accessible au clavier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Utiliser de nombreuses animations clignotantes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S'assurer que tous les textes sont en petits caractères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S'assurer que les balises d'ouverture et de fermeture ne sont pas manquantes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Lequel des éléments suivants est un exemple d'obstacle physique à l'accessibilité 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Des escaliers sans</w:t>
      </w:r>
      <w:r w:rsidDel="00000000" w:rsidR="00000000" w:rsidRPr="00000000">
        <w:rPr>
          <w:u w:val="single"/>
          <w:rtl w:val="0"/>
        </w:rPr>
        <w:t xml:space="preserve"> rampe</w:t>
      </w:r>
      <w:r w:rsidDel="00000000" w:rsidR="00000000" w:rsidRPr="00000000">
        <w:rPr>
          <w:u w:val="single"/>
          <w:rtl w:val="0"/>
        </w:rPr>
        <w:t xml:space="preserve"> d'accès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Une image sans texte alternatif (alt)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Une vidéo sans sous-titrage codé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 formulaire sans étiquette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visible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Comment peut-on rendre les images accessibles à une personne qui ne peut pas les voir 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Ajouter une alternative textuelle utilisant un attribut alt qui décrit l'image pour les lecteurs d'écran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Créer une version séparée de la page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Éviter d'inclure des images et des vidéos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Ajouter du sous-titrage codé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Lequel des énoncés suivants est vrai pour les en-têtes de sections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Les balises d'en-tête ne sont pas utiles pour les lecteurs d'écran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L'ordre des en-têtes n'a pas d'importance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Les en-têtes facilitent la navigation pour les utilisateurs de lecteurs d'écran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L’emploi d’en-têtes est une meilleure pratique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Qu’est-ce que NVDA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Une organisation d’experts en accessibilité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Une initiative du W3C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Un lecteur d’écran pour Windows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 outil de test d’accessibilité pour MacOS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Selon l’Organisation mondiale de la Santé (OMS), combien de personnes vivent avec une</w:t>
      </w:r>
      <w:r w:rsidDel="00000000" w:rsidR="00000000" w:rsidRPr="00000000">
        <w:rPr>
          <w:rtl w:val="0"/>
        </w:rPr>
        <w:t xml:space="preserve"> incapacité</w:t>
      </w:r>
      <w:r w:rsidDel="00000000" w:rsidR="00000000" w:rsidRPr="00000000">
        <w:rPr>
          <w:rtl w:val="0"/>
        </w:rPr>
        <w:t xml:space="preserve"> ou une limitation 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Environ 20 % de la population globale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Environ 40 % de la population globale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Environ 50 % de la population globale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Environ 75 % de la population globale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L’American with Disabilities Act (ADA) est une loi des États-Unis qui garantit des droits égaux pour les personnes handicapées. En quelle année l’ADA est-elle devenue une loi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1936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1985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1990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 signifie </w:t>
      </w:r>
      <w:r w:rsidDel="00000000" w:rsidR="00000000" w:rsidRPr="00000000">
        <w:rPr>
          <w:rtl w:val="0"/>
        </w:rPr>
        <w:t xml:space="preserve">l’acronyme LAPHO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 Ligue de l’activisme pour les personnes handicapées de l’Ontario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 Loi sur les associations de personnes handicapées de l’Ontario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La Loi sur l’accessibilité pour les personnes handicapées de l’Ontario 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Aucune de ces réponses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 Loi sur l’accessibilité pour les personnes handicapées de l’Ontario (LAPHO) vise à trouver, éliminer et prévenir les obstacles auxquels sont confrontées les personnes handicapées. En quelle année est-elle entrée en vigueur ?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1979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1988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1990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Quelle est la différence entre les sous-titres visibles et les sous-titres codés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Les sous-titres visibles peuvent être modifiés par un utilisateur, mais les sous-titres codés ne le peuvent pas.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Les sous-titres visibles n'ont pas de couleur d'arrière-plan. Les sous-titres codés ont toujours une couleur d'arrière-plan à fort contraste, ce qui les rend plus faciles à lire.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Les sous-titres visibles sont "incrustés" dans la vidéo et sont toujours visibles, mais les sous-titres codés peuvent être activés ou désactivés par l'utilisateur.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Aucune de ces réponses.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L’acronyme WCAG réfère aux règles employées comme standard de l’industrie pour l’évaluation de l’accessibilité numérique. Quelle est la signification de WCAG ?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World Council Accessibility Group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World Content Access Governance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Consortium Accessibility Guidelines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Web Content Accessibility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Selon la norme WCAG 2.1, niveau AA, quel est le ratio de contraste minimal attendu entre la couleur d’avant-plan et d’arrière-plan pour du texte de taille régulière ?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5.4:1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3:1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1:3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4.5:1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 lecteur d’écran est un logiciel utilisé par des personnes aveugles ou malvoyantes pour accéder à un ordinateur, une tablette ou un téléphone intelligent. Lequel des éléments suivants n’est PAS un lecteur d’écran ?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Voiceover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Siri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Voice View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NVDA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Quelle tradition du sport américain a été inventée pour les joueurs qui étaient s/Sourds et malentendants ?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Rassemblement des joueurs avant ou pendant un match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Signaux de l'arbitre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Tableau des scores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Numéros des joueurs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Quelle entreprise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tl w:val="0"/>
        </w:rPr>
        <w:t xml:space="preserve"> technologies a récemment créé une manette de jeu adaptée spécialement conçue pour les personnes en situation de handicap ?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Sony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Freedom Scientific 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Xbox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PlayStation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Lequel des éléments suivants est un outil pour aider les utilisateurs ayant une limitation visuelle ?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Talkback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AXe 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Wave Toolbar 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Maws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 quelle année la Loi canadienne sur l’accessibilité (LCA) est-elle entrée en vigueur ?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1939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1989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2009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 Québec a été la première province canadienne à adopter une loi sur l’accessibilité. En quelle année cette loi est-elle entrée en vigueur ?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1975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1978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1991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2004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À quoi réfère le SGQRI-008 2.0 </w:t>
      </w:r>
      <w:r w:rsidDel="00000000" w:rsidR="00000000" w:rsidRPr="00000000">
        <w:rPr>
          <w:color w:val="37415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À une norme du gouvernement du Québec pour l’accessibilité du Web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À un nouvel éditeur de texte accessible pour WordPress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À un standard d’accessibilité des claviers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Aucune de ces réponses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Quels types d’utilisateurs sont susceptibles d’employer des technologies d’assistance comme les commutateurs ou le contacteur au souffle ?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Personnes avec des limitations cognitives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Personnes s/Sourdes ou malentendantes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Personnes avec des limitations motrices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Personnes épileptiques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Selon les Règles pour l’accessibilité des contenus Web (WCAG) 2.0 et 2.1, quel type d’images devrait être codé pour être ignoré par les lecteurs d’écran ?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Images transmettant une émotion ou une information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utilisées comme des liens ou boutons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Logos de compagnies ou d’organisations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Images purement décoratives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Quelles interactions au clavier sont attendues pour une boîte de dialogue modale ? 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 modale est affichée lorsque le bouton déclencheur est cliqué et le focus se déplace sur le premier élément de la modale.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Une fois dans la modale, le focus ne peut en ressortir.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Il est possible de fermer la modale avec un bouton de fermeture ou la touche Échappe.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Lorsque la modale se ferme, le focus retourne sur le bouton déclencheur.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Toutes ces réponses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Quelles sont les touches de base pour l’interaction au clavier?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Entrée et barre d’espacement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Tabulation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Touches directionnelles (haut/bas/gauche/droite)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Toutes ces réponses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 quelle année a été publiée la première version des WCAG?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2008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1994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1999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2001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Qui bénéficie de contenus avec des en-têtes descriptifs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Les personnes avec des limitations cognitives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Les personnes avec des limitations visuelles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Les personnes daltoniennes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 et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Qui est responsable de créer des contenus numériques accessibles?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Les développeurs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Les designers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Les gestionnaires de projet (</w:t>
      </w:r>
      <w:r w:rsidDel="00000000" w:rsidR="00000000" w:rsidRPr="00000000">
        <w:rPr>
          <w:i w:val="1"/>
          <w:rtl w:val="0"/>
        </w:rPr>
        <w:t xml:space="preserve">Projects managers</w:t>
      </w:r>
      <w:r w:rsidDel="00000000" w:rsidR="00000000" w:rsidRPr="00000000">
        <w:rPr>
          <w:rtl w:val="0"/>
        </w:rPr>
        <w:t xml:space="preserve">) et les responsables de projet (</w:t>
      </w:r>
      <w:r w:rsidDel="00000000" w:rsidR="00000000" w:rsidRPr="00000000">
        <w:rPr>
          <w:i w:val="1"/>
          <w:rtl w:val="0"/>
        </w:rPr>
        <w:t xml:space="preserve">Project Owners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Les créateurs de contenus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Toutes ces réponses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Quelle étiquette sera annoncée par les lecteurs d’écran si un bouton textuel “pomme” a un attribut </w:t>
      </w:r>
      <w:r w:rsidDel="00000000" w:rsidR="00000000" w:rsidRPr="00000000">
        <w:rPr>
          <w:i w:val="1"/>
          <w:rtl w:val="0"/>
        </w:rPr>
        <w:t xml:space="preserve">aria-label </w:t>
      </w:r>
      <w:r w:rsidDel="00000000" w:rsidR="00000000" w:rsidRPr="00000000">
        <w:rPr>
          <w:rtl w:val="0"/>
        </w:rPr>
        <w:t xml:space="preserve">avec la valeur "raisins"?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pomme raisins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raisins pomme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pomme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raisins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