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0149" w14:textId="31F88320" w:rsidR="00D3085D" w:rsidRDefault="00D3085D" w:rsidP="00D3085D">
      <w:proofErr w:type="spellStart"/>
      <w:r>
        <w:t>CPathoGen</w:t>
      </w:r>
      <w:proofErr w:type="spellEnd"/>
      <w:r>
        <w:t>: A Framework for Controllable Histopathology Generation for Probing Pathology Foundation Models</w:t>
      </w:r>
    </w:p>
    <w:p w14:paraId="40B57FD0" w14:textId="2BFC0CB6" w:rsidR="006803CC" w:rsidRDefault="00D3085D" w:rsidP="00D3085D">
      <w:r>
        <w:rPr>
          <w:b/>
          <w:bCs/>
        </w:rPr>
        <w:t xml:space="preserve">Abstract: </w:t>
      </w:r>
      <w:r w:rsidR="003F45B0" w:rsidRPr="003F45B0">
        <w:t xml:space="preserve">We introduce </w:t>
      </w:r>
      <w:proofErr w:type="spellStart"/>
      <w:r w:rsidR="003F45B0" w:rsidRPr="003F45B0">
        <w:t>CPathoGen</w:t>
      </w:r>
      <w:proofErr w:type="spellEnd"/>
      <w:r w:rsidR="003F45B0" w:rsidRPr="003F45B0">
        <w:t>, a controllable generative model for histopathology that synthesizes 512×</w:t>
      </w:r>
      <w:proofErr w:type="gramStart"/>
      <w:r w:rsidR="003F45B0" w:rsidRPr="003F45B0">
        <w:t>512 dimension</w:t>
      </w:r>
      <w:proofErr w:type="gramEnd"/>
      <w:r w:rsidR="003F45B0" w:rsidRPr="003F45B0">
        <w:t xml:space="preserve"> Hematoxylin and Eosin (H&amp;E) stained tiles conditioned on cell type and spatial organization derived from weak cell annotations produced using pretrained cell segmentation and classification models from TCGA-BRCA (N = 1.038 </w:t>
      </w:r>
      <w:proofErr w:type="gramStart"/>
      <w:r w:rsidR="003F45B0" w:rsidRPr="003F45B0">
        <w:t>Million</w:t>
      </w:r>
      <w:proofErr w:type="gramEnd"/>
      <w:r w:rsidR="003F45B0" w:rsidRPr="003F45B0">
        <w:t xml:space="preserve"> Tiles). </w:t>
      </w:r>
      <w:proofErr w:type="spellStart"/>
      <w:r w:rsidR="003F45B0" w:rsidRPr="003F45B0">
        <w:t>CPathoGen</w:t>
      </w:r>
      <w:proofErr w:type="spellEnd"/>
      <w:r w:rsidR="003F45B0" w:rsidRPr="003F45B0">
        <w:t xml:space="preserve"> builds on a latent diffusion model (LDM) backbone and adds ControlNet to enforce spatial cell-type layout and </w:t>
      </w:r>
      <w:proofErr w:type="spellStart"/>
      <w:r w:rsidR="003F45B0" w:rsidRPr="003F45B0">
        <w:t>FiLM</w:t>
      </w:r>
      <w:proofErr w:type="spellEnd"/>
      <w:r w:rsidR="003F45B0" w:rsidRPr="003F45B0">
        <w:t xml:space="preserve"> to inject compact, tile-level tumor morphology statistics. In preliminary experiments, the model generates visually plausible H&amp;E tiles and responds to conditioning by placing cell-type patterns in the intended regions, with emerging sensitivity to tumor morphology controls. Using a fixed evaluation protocol with 2,000 real tiles in our preliminary results, we observe FID ≈ 62 on LDM only training and FID ≈ 102 at 15k steps on conditioning (early training; results subject to further stabilization). Our motivation is to use </w:t>
      </w:r>
      <w:proofErr w:type="spellStart"/>
      <w:r w:rsidR="003F45B0" w:rsidRPr="003F45B0">
        <w:t>CPathoGen</w:t>
      </w:r>
      <w:proofErr w:type="spellEnd"/>
      <w:r w:rsidR="003F45B0" w:rsidRPr="003F45B0">
        <w:t xml:space="preserve"> as a tool to probe black-box pathology foundation models by producing counterfactual, human-specified edits to spatial context and tumor morphology, enabling controlled stress tests of model sensitivity and potential failure modes.</w:t>
      </w:r>
    </w:p>
    <w:p w14:paraId="411E0164" w14:textId="77777777" w:rsidR="0053055E" w:rsidRDefault="0053055E" w:rsidP="00D3085D"/>
    <w:p w14:paraId="341AE03B" w14:textId="77777777" w:rsidR="00A31391" w:rsidRDefault="0053055E" w:rsidP="00A31391">
      <w:pPr>
        <w:keepNext/>
      </w:pPr>
      <w:r>
        <w:rPr>
          <w:noProof/>
        </w:rPr>
        <w:drawing>
          <wp:inline distT="0" distB="0" distL="0" distR="0" wp14:anchorId="6BECE4DE" wp14:editId="143E0214">
            <wp:extent cx="5943600" cy="2012950"/>
            <wp:effectExtent l="0" t="0" r="0" b="6350"/>
            <wp:docPr id="170627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1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797C" w14:textId="2845C712" w:rsidR="0053055E" w:rsidRPr="006D0ADC" w:rsidRDefault="00A31391" w:rsidP="00A31391">
      <w:pPr>
        <w:pStyle w:val="Caption"/>
        <w:rPr>
          <w:sz w:val="24"/>
          <w:szCs w:val="24"/>
        </w:rPr>
      </w:pPr>
      <w:r w:rsidRPr="006D0ADC">
        <w:rPr>
          <w:sz w:val="24"/>
          <w:szCs w:val="24"/>
        </w:rPr>
        <w:t xml:space="preserve">Figure </w:t>
      </w:r>
      <w:r w:rsidRPr="006D0ADC">
        <w:rPr>
          <w:sz w:val="24"/>
          <w:szCs w:val="24"/>
        </w:rPr>
        <w:fldChar w:fldCharType="begin"/>
      </w:r>
      <w:r w:rsidRPr="006D0ADC">
        <w:rPr>
          <w:sz w:val="24"/>
          <w:szCs w:val="24"/>
        </w:rPr>
        <w:instrText xml:space="preserve"> SEQ Figure \* ARABIC </w:instrText>
      </w:r>
      <w:r w:rsidRPr="006D0ADC">
        <w:rPr>
          <w:sz w:val="24"/>
          <w:szCs w:val="24"/>
        </w:rPr>
        <w:fldChar w:fldCharType="separate"/>
      </w:r>
      <w:r w:rsidRPr="006D0ADC">
        <w:rPr>
          <w:noProof/>
          <w:sz w:val="24"/>
          <w:szCs w:val="24"/>
        </w:rPr>
        <w:t>1</w:t>
      </w:r>
      <w:r w:rsidRPr="006D0ADC">
        <w:rPr>
          <w:sz w:val="24"/>
          <w:szCs w:val="24"/>
        </w:rPr>
        <w:fldChar w:fldCharType="end"/>
      </w:r>
      <w:r w:rsidR="006D0ADC" w:rsidRPr="006D0ADC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6D0ADC" w:rsidRPr="006D0ADC">
        <w:rPr>
          <w:sz w:val="24"/>
          <w:szCs w:val="24"/>
        </w:rPr>
        <w:t>CPathoGen</w:t>
      </w:r>
      <w:proofErr w:type="spellEnd"/>
      <w:r w:rsidR="006D0ADC" w:rsidRPr="006D0ADC">
        <w:rPr>
          <w:sz w:val="24"/>
          <w:szCs w:val="24"/>
        </w:rPr>
        <w:t xml:space="preserve"> overview. Whole-slide H&amp;E images from TCGA-BRCA (N = 1114) are tiled and processed with </w:t>
      </w:r>
      <w:proofErr w:type="spellStart"/>
      <w:r w:rsidR="006D0ADC" w:rsidRPr="006D0ADC">
        <w:rPr>
          <w:sz w:val="24"/>
          <w:szCs w:val="24"/>
        </w:rPr>
        <w:t>CellViT</w:t>
      </w:r>
      <w:proofErr w:type="spellEnd"/>
      <w:r w:rsidR="006D0ADC" w:rsidRPr="006D0ADC">
        <w:rPr>
          <w:sz w:val="24"/>
          <w:szCs w:val="24"/>
        </w:rPr>
        <w:t xml:space="preserve">++ to obtain weak cell-type and spatial annotations, which are converted into a </w:t>
      </w:r>
      <w:proofErr w:type="gramStart"/>
      <w:r w:rsidR="006D0ADC" w:rsidRPr="006D0ADC">
        <w:rPr>
          <w:sz w:val="24"/>
          <w:szCs w:val="24"/>
        </w:rPr>
        <w:t>spatial structure maps</w:t>
      </w:r>
      <w:proofErr w:type="gramEnd"/>
      <w:r w:rsidR="006D0ADC" w:rsidRPr="006D0ADC">
        <w:rPr>
          <w:sz w:val="24"/>
          <w:szCs w:val="24"/>
        </w:rPr>
        <w:t xml:space="preserve"> and a compact morphological embedding. A latent diffusion generator is conditioned on the spatial map via ControlNet and modulated by the morphology vector via </w:t>
      </w:r>
      <w:proofErr w:type="spellStart"/>
      <w:r w:rsidR="006D0ADC" w:rsidRPr="006D0ADC">
        <w:rPr>
          <w:sz w:val="24"/>
          <w:szCs w:val="24"/>
        </w:rPr>
        <w:t>FiLM</w:t>
      </w:r>
      <w:proofErr w:type="spellEnd"/>
      <w:r w:rsidR="006D0ADC" w:rsidRPr="006D0ADC">
        <w:rPr>
          <w:sz w:val="24"/>
          <w:szCs w:val="24"/>
        </w:rPr>
        <w:t xml:space="preserve"> to synthesize 512×512 H&amp;E tiles that match the specified cellular organization, alongside visually similar real tiles for qualitative comparison.</w:t>
      </w:r>
    </w:p>
    <w:sectPr w:rsidR="0053055E" w:rsidRPr="006D0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74"/>
    <w:rsid w:val="00020639"/>
    <w:rsid w:val="003F45B0"/>
    <w:rsid w:val="0053055E"/>
    <w:rsid w:val="00662F56"/>
    <w:rsid w:val="006803CC"/>
    <w:rsid w:val="006D0ADC"/>
    <w:rsid w:val="007650A1"/>
    <w:rsid w:val="00A31391"/>
    <w:rsid w:val="00AF770A"/>
    <w:rsid w:val="00D3085D"/>
    <w:rsid w:val="00F5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BDB5"/>
  <w15:chartTrackingRefBased/>
  <w15:docId w15:val="{5F48D76C-EA5A-4BF4-BA67-0D197B33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7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3139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Singhal</dc:creator>
  <cp:keywords/>
  <dc:description/>
  <cp:lastModifiedBy>Samarth Singhal</cp:lastModifiedBy>
  <cp:revision>2</cp:revision>
  <dcterms:created xsi:type="dcterms:W3CDTF">2026-02-26T12:52:00Z</dcterms:created>
  <dcterms:modified xsi:type="dcterms:W3CDTF">2026-03-03T16:53:00Z</dcterms:modified>
</cp:coreProperties>
</file>