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Morfund USD Financing — Product Page (English)</w:t>
      </w:r>
    </w:p>
    <w:p>
      <w:pPr>
        <w:spacing w:before="120" w:after="120" w:line="288" w:lineRule="auto"/>
        <w:ind w:left="0"/>
        <w:jc w:val="left"/>
      </w:pPr>
      <w:r>
        <w:rPr>
          <w:rFonts w:eastAsia="等线" w:ascii="Arial" w:cs="Arial" w:hAnsi="Arial"/>
          <w:i w:val="true"/>
          <w:color w:val="646a73"/>
          <w:sz w:val="22"/>
        </w:rPr>
        <w:t>Translated from: Morfund 美金融资产品 — 官网介绍文案</w:t>
      </w:r>
      <w:r>
        <w:rPr>
          <w:rFonts w:eastAsia="等线" w:ascii="Arial" w:cs="Arial" w:hAnsi="Arial"/>
          <w:i w:val="true"/>
          <w:color w:val="646a73"/>
          <w:sz w:val="22"/>
        </w:rPr>
        <w:t>Use Cases: Official website, sales brochure, client presentation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I. Product Positioning</w:t>
      </w:r>
      <w:bookmarkEnd w:id="0"/>
    </w:p>
    <w:p>
      <w:pPr>
        <w:spacing w:before="120" w:after="120" w:line="288" w:lineRule="auto"/>
        <w:ind w:left="0"/>
        <w:jc w:val="left"/>
      </w:pPr>
      <w:r>
        <w:rPr>
          <w:rFonts w:eastAsia="等线" w:ascii="Arial" w:cs="Arial" w:hAnsi="Arial"/>
          <w:b w:val="true"/>
          <w:sz w:val="22"/>
        </w:rPr>
        <w:t>Morfund USD Financing — Tailored Funding for Global E-Commerce Sellers</w:t>
      </w:r>
    </w:p>
    <w:p>
      <w:pPr>
        <w:spacing w:before="120" w:after="120" w:line="288" w:lineRule="auto"/>
        <w:ind w:left="0"/>
        <w:jc w:val="left"/>
      </w:pPr>
      <w:r>
        <w:rPr>
          <w:rFonts w:eastAsia="等线" w:ascii="Arial" w:cs="Arial" w:hAnsi="Arial"/>
          <w:sz w:val="22"/>
        </w:rPr>
        <w:t xml:space="preserve">We provide </w:t>
      </w:r>
      <w:r>
        <w:rPr>
          <w:rFonts w:eastAsia="等线" w:ascii="Arial" w:cs="Arial" w:hAnsi="Arial"/>
          <w:b w:val="true"/>
          <w:sz w:val="22"/>
        </w:rPr>
        <w:t>up to USD 10 million</w:t>
      </w:r>
      <w:r>
        <w:rPr>
          <w:rFonts w:eastAsia="等线" w:ascii="Arial" w:cs="Arial" w:hAnsi="Arial"/>
          <w:sz w:val="22"/>
        </w:rPr>
        <w:t xml:space="preserve"> in USD financing credit for sellers on major platforms including </w:t>
      </w:r>
      <w:r>
        <w:rPr>
          <w:rFonts w:eastAsia="等线" w:ascii="Arial" w:cs="Arial" w:hAnsi="Arial"/>
          <w:b w:val="true"/>
          <w:sz w:val="22"/>
        </w:rPr>
        <w:t>Amazon, Walmart, and eBay</w:t>
      </w:r>
      <w:r>
        <w:rPr>
          <w:rFonts w:eastAsia="等线" w:ascii="Arial" w:cs="Arial" w:hAnsi="Arial"/>
          <w:sz w:val="22"/>
        </w:rPr>
        <w:t>, solving capital bottlenecks in inventory stocking, peak season surges, and platform settlement cycle management.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II. Core Selling Points (Why Morfund?)</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Selling Point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High Limits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Up to </w:t>
            </w:r>
            <w:r>
              <w:rPr>
                <w:rFonts w:eastAsia="等线" w:ascii="Arial" w:cs="Arial" w:hAnsi="Arial"/>
                <w:b w:val="true"/>
                <w:sz w:val="22"/>
              </w:rPr>
              <w:t>USD 10 million</w:t>
            </w:r>
            <w:r>
              <w:rPr>
                <w:rFonts w:eastAsia="等线" w:ascii="Arial" w:cs="Arial" w:hAnsi="Arial"/>
                <w:sz w:val="22"/>
              </w:rPr>
              <w:t xml:space="preserve"> credit limit, meeting large sellers' peak season inventory needs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Currency Flexibility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Supports </w:t>
            </w:r>
            <w:r>
              <w:rPr>
                <w:rFonts w:eastAsia="等线" w:ascii="Arial" w:cs="Arial" w:hAnsi="Arial"/>
                <w:b w:val="true"/>
                <w:sz w:val="22"/>
              </w:rPr>
              <w:t>USD financing</w:t>
            </w:r>
            <w:r>
              <w:rPr>
                <w:rFonts w:eastAsia="等线" w:ascii="Arial" w:cs="Arial" w:hAnsi="Arial"/>
                <w:sz w:val="22"/>
              </w:rPr>
              <w:t xml:space="preserve">; also available in </w:t>
            </w:r>
            <w:r>
              <w:rPr>
                <w:rFonts w:eastAsia="等线" w:ascii="Arial" w:cs="Arial" w:hAnsi="Arial"/>
                <w:b w:val="true"/>
                <w:sz w:val="22"/>
              </w:rPr>
              <w:t>offshore RMB (CNH)</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Platform Official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Official platform partner; supports Amazon, Walmart, eBay, and more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Easy Application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Online submission; credit limit based on store performance assessment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Flexible Repayment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Multiple repayment options based on recommended product and repayment plans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Convenient Funding</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Funds deposited directly into </w:t>
            </w:r>
            <w:r>
              <w:rPr>
                <w:rFonts w:eastAsia="等线" w:ascii="Arial" w:cs="Arial" w:hAnsi="Arial"/>
                <w:b w:val="true"/>
                <w:sz w:val="22"/>
              </w:rPr>
              <w:t>Hong Kong corporate accounts</w:t>
            </w:r>
            <w:r>
              <w:rPr>
                <w:rFonts w:eastAsia="等线" w:ascii="Arial" w:cs="Arial" w:hAnsi="Arial"/>
                <w:sz w:val="22"/>
              </w:rPr>
              <w:t xml:space="preserve"> for efficient cross-border settlement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III. Product Specifications</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Element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Borrower Entity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Hong Kong-registered company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Credit Limit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Determined based on store performance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Loan Currency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 or offshore RMB (CNH)</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Loan Tenor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 months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Interest Rate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 SOFR + 4%; CNH: HBR + 4% (as low as 5.8%)</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Repayment Method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Interest-first then principal / First 3 months interest-only, then 3 months equal principal + interest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Disbursement Account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Hong Kong corporate account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Eligible Platforms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Amazon, Walmart, eBay, etc.</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IV. Application Process</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Step 1: Store Authorization</w:t>
              <w:br/>
              <w:t xml:space="preserve">    ↓ Complete store authorization via Amazon Seller Central</w:t>
              <w:br/>
              <w:t>Step 2: Submit Application</w:t>
              <w:br/>
              <w:t xml:space="preserve">    ↓ Upload corporate and director documents; complete online application</w:t>
              <w:br/>
              <w:t>Step 3: Credit Approval</w:t>
              <w:br/>
              <w:t xml:space="preserve">    ↓ Bank conducts document review and credit approval</w:t>
              <w:br/>
              <w:t>Step 4: Account Opening (if no HK account)</w:t>
              <w:br/>
              <w:t xml:space="preserve">    ↓ Open Hong Kong local bank account; fastest within one week</w:t>
              <w:br/>
              <w:t>Step 5: Drawdown &amp; Disbursement</w:t>
              <w:br/>
              <w:t xml:space="preserve">    ↓ Client initiates drawdown; funds credited directly to HK account</w:t>
              <w:br/>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V. Scenario-Based Solutions</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Scenario 1: Peak Season Inventory Sprint</w:t>
      </w:r>
      <w:bookmarkEnd w:id="5"/>
    </w:p>
    <w:p>
      <w:pPr>
        <w:spacing w:before="120" w:after="120" w:line="288" w:lineRule="auto"/>
        <w:ind w:left="0"/>
        <w:jc w:val="left"/>
      </w:pPr>
      <w:r>
        <w:rPr>
          <w:rFonts w:eastAsia="等线" w:ascii="Arial" w:cs="Arial" w:hAnsi="Arial"/>
          <w:b w:val="true"/>
          <w:sz w:val="22"/>
        </w:rPr>
        <w:t>Background</w:t>
      </w:r>
      <w:r>
        <w:rPr>
          <w:rFonts w:eastAsia="等线" w:ascii="Arial" w:cs="Arial" w:hAnsi="Arial"/>
          <w:sz w:val="22"/>
        </w:rPr>
        <w:t>: Before Prime Day, Black Friday, Christmas, and other peak seasons, sellers need to stock inventory 1–2 months in advance, creating large capital gaps.</w:t>
      </w:r>
    </w:p>
    <w:p>
      <w:pPr>
        <w:spacing w:before="120" w:after="120" w:line="288" w:lineRule="auto"/>
        <w:ind w:left="0"/>
        <w:jc w:val="left"/>
      </w:pPr>
      <w:r>
        <w:rPr>
          <w:rFonts w:eastAsia="等线" w:ascii="Arial" w:cs="Arial" w:hAnsi="Arial"/>
          <w:b w:val="true"/>
          <w:sz w:val="22"/>
        </w:rPr>
        <w:t>Morfund Solution</w:t>
      </w:r>
      <w:r>
        <w:rPr>
          <w:rFonts w:eastAsia="等线" w:ascii="Arial" w:cs="Arial" w:hAnsi="Arial"/>
          <w:sz w:val="22"/>
        </w:rPr>
        <w:t>:</w:t>
      </w:r>
    </w:p>
    <w:p>
      <w:pPr>
        <w:numPr>
          <w:numId w:val="1"/>
        </w:numPr>
        <w:spacing w:before="120" w:after="120" w:line="288" w:lineRule="auto"/>
        <w:ind w:left="0"/>
        <w:jc w:val="left"/>
      </w:pPr>
      <w:r>
        <w:rPr>
          <w:rFonts w:eastAsia="等线" w:ascii="Arial" w:cs="Arial" w:hAnsi="Arial"/>
          <w:sz w:val="22"/>
        </w:rPr>
        <w:t xml:space="preserve">Up to </w:t>
      </w:r>
      <w:r>
        <w:rPr>
          <w:rFonts w:eastAsia="等线" w:ascii="Arial" w:cs="Arial" w:hAnsi="Arial"/>
          <w:b w:val="true"/>
          <w:sz w:val="22"/>
        </w:rPr>
        <w:t>USD 10 million</w:t>
      </w:r>
      <w:r>
        <w:rPr>
          <w:rFonts w:eastAsia="等线" w:ascii="Arial" w:cs="Arial" w:hAnsi="Arial"/>
          <w:sz w:val="22"/>
        </w:rPr>
        <w:t xml:space="preserve"> limit, covering large-batch procurement needs</w:t>
      </w:r>
    </w:p>
    <w:p>
      <w:pPr>
        <w:numPr>
          <w:numId w:val="2"/>
        </w:numPr>
        <w:spacing w:before="120" w:after="120" w:line="288" w:lineRule="auto"/>
        <w:ind w:left="0"/>
        <w:jc w:val="left"/>
      </w:pPr>
      <w:r>
        <w:rPr>
          <w:rFonts w:eastAsia="等线" w:ascii="Arial" w:cs="Arial" w:hAnsi="Arial"/>
          <w:sz w:val="22"/>
        </w:rPr>
        <w:t xml:space="preserve">Single turnover cycle up to </w:t>
      </w:r>
      <w:r>
        <w:rPr>
          <w:rFonts w:eastAsia="等线" w:ascii="Arial" w:cs="Arial" w:hAnsi="Arial"/>
          <w:b w:val="true"/>
          <w:sz w:val="22"/>
        </w:rPr>
        <w:t>120 days</w:t>
      </w:r>
      <w:r>
        <w:rPr>
          <w:rFonts w:eastAsia="等线" w:ascii="Arial" w:cs="Arial" w:hAnsi="Arial"/>
          <w:sz w:val="22"/>
        </w:rPr>
        <w:t>, perfectly matching the stock–sell–collect cycle</w:t>
      </w:r>
    </w:p>
    <w:p>
      <w:pPr>
        <w:numPr>
          <w:numId w:val="3"/>
        </w:numPr>
        <w:spacing w:before="120" w:after="120" w:line="288" w:lineRule="auto"/>
        <w:ind w:left="0"/>
        <w:jc w:val="left"/>
      </w:pPr>
      <w:r>
        <w:rPr>
          <w:rFonts w:eastAsia="等线" w:ascii="Arial" w:cs="Arial" w:hAnsi="Arial"/>
          <w:sz w:val="22"/>
        </w:rPr>
        <w:t>USD direct disbursement, eliminating FX conversion losses</w:t>
      </w:r>
    </w:p>
    <w:p>
      <w:pPr>
        <w:spacing w:before="120" w:after="120" w:line="288" w:lineRule="auto"/>
        <w:ind w:left="0"/>
        <w:jc w:val="left"/>
      </w:pPr>
      <w:r>
        <w:rPr>
          <w:rFonts w:eastAsia="等线" w:ascii="Arial" w:cs="Arial" w:hAnsi="Arial"/>
          <w:b w:val="true"/>
          <w:sz w:val="22"/>
        </w:rPr>
        <w:t>Customer Benefit</w:t>
      </w:r>
      <w:r>
        <w:rPr>
          <w:rFonts w:eastAsia="等线" w:ascii="Arial" w:cs="Arial" w:hAnsi="Arial"/>
          <w:sz w:val="22"/>
        </w:rPr>
        <w:t>:</w:t>
      </w:r>
    </w:p>
    <w:p>
      <w:pPr>
        <w:spacing w:before="120" w:after="120" w:line="288" w:lineRule="auto"/>
        <w:ind w:left="0"/>
        <w:jc w:val="left"/>
      </w:pPr>
      <w:r>
        <w:rPr>
          <w:rFonts w:eastAsia="等线" w:ascii="Arial" w:cs="Arial" w:hAnsi="Arial"/>
          <w:i w:val="true"/>
          <w:color w:val="646a73"/>
          <w:sz w:val="22"/>
        </w:rPr>
        <w:t>"Stocked 50% more inventory before peak season, sales increased 30%. No more missed opportunities due to stockouts."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 w:id="6"/>
      <w:r>
        <w:rPr>
          <w:rFonts w:eastAsia="等线" w:ascii="Arial" w:cs="Arial" w:hAnsi="Arial"/>
          <w:b w:val="true"/>
          <w:sz w:val="30"/>
        </w:rPr>
        <w:t>Scenario 2: Multi-Platform Expansion</w:t>
      </w:r>
      <w:bookmarkEnd w:id="6"/>
    </w:p>
    <w:p>
      <w:pPr>
        <w:spacing w:before="120" w:after="120" w:line="288" w:lineRule="auto"/>
        <w:ind w:left="0"/>
        <w:jc w:val="left"/>
      </w:pPr>
      <w:r>
        <w:rPr>
          <w:rFonts w:eastAsia="等线" w:ascii="Arial" w:cs="Arial" w:hAnsi="Arial"/>
          <w:b w:val="true"/>
          <w:sz w:val="22"/>
        </w:rPr>
        <w:t>Background</w:t>
      </w:r>
      <w:r>
        <w:rPr>
          <w:rFonts w:eastAsia="等线" w:ascii="Arial" w:cs="Arial" w:hAnsi="Arial"/>
          <w:sz w:val="22"/>
        </w:rPr>
        <w:t>: Sellers want to expand from Amazon to Walmart, TikTok Shop, and other new platforms, requiring additional capital to launch.</w:t>
      </w:r>
    </w:p>
    <w:p>
      <w:pPr>
        <w:spacing w:before="120" w:after="120" w:line="288" w:lineRule="auto"/>
        <w:ind w:left="0"/>
        <w:jc w:val="left"/>
      </w:pPr>
      <w:r>
        <w:rPr>
          <w:rFonts w:eastAsia="等线" w:ascii="Arial" w:cs="Arial" w:hAnsi="Arial"/>
          <w:b w:val="true"/>
          <w:sz w:val="22"/>
        </w:rPr>
        <w:t>Morfund Solution</w:t>
      </w:r>
      <w:r>
        <w:rPr>
          <w:rFonts w:eastAsia="等线" w:ascii="Arial" w:cs="Arial" w:hAnsi="Arial"/>
          <w:sz w:val="22"/>
        </w:rPr>
        <w:t>:</w:t>
      </w:r>
    </w:p>
    <w:p>
      <w:pPr>
        <w:numPr>
          <w:numId w:val="4"/>
        </w:numPr>
        <w:spacing w:before="120" w:after="120" w:line="288" w:lineRule="auto"/>
        <w:ind w:left="0"/>
        <w:jc w:val="left"/>
      </w:pPr>
      <w:r>
        <w:rPr>
          <w:rFonts w:eastAsia="等线" w:ascii="Arial" w:cs="Arial" w:hAnsi="Arial"/>
          <w:sz w:val="22"/>
        </w:rPr>
        <w:t xml:space="preserve">Supports simultaneous credit assessment across </w:t>
      </w:r>
      <w:r>
        <w:rPr>
          <w:rFonts w:eastAsia="等线" w:ascii="Arial" w:cs="Arial" w:hAnsi="Arial"/>
          <w:b w:val="true"/>
          <w:sz w:val="22"/>
        </w:rPr>
        <w:t>Amazon (all marketplaces) + Walmart (US)</w:t>
      </w:r>
    </w:p>
    <w:p>
      <w:pPr>
        <w:numPr>
          <w:numId w:val="5"/>
        </w:numPr>
        <w:spacing w:before="120" w:after="120" w:line="288" w:lineRule="auto"/>
        <w:ind w:left="0"/>
        <w:jc w:val="left"/>
      </w:pPr>
      <w:r>
        <w:rPr>
          <w:rFonts w:eastAsia="等线" w:ascii="Arial" w:cs="Arial" w:hAnsi="Arial"/>
          <w:sz w:val="22"/>
        </w:rPr>
        <w:t>Aggregates multi-platform store data for more generous limits</w:t>
      </w:r>
    </w:p>
    <w:p>
      <w:pPr>
        <w:numPr>
          <w:numId w:val="6"/>
        </w:numPr>
        <w:spacing w:before="120" w:after="120" w:line="288" w:lineRule="auto"/>
        <w:ind w:left="0"/>
        <w:jc w:val="left"/>
      </w:pPr>
      <w:r>
        <w:rPr>
          <w:rFonts w:eastAsia="等线" w:ascii="Arial" w:cs="Arial" w:hAnsi="Arial"/>
          <w:sz w:val="22"/>
        </w:rPr>
        <w:t>Local store sellers in US and Europe also eligible</w:t>
      </w:r>
    </w:p>
    <w:p>
      <w:pPr>
        <w:spacing w:before="120" w:after="120" w:line="288" w:lineRule="auto"/>
        <w:ind w:left="0"/>
        <w:jc w:val="left"/>
      </w:pPr>
      <w:r>
        <w:rPr>
          <w:rFonts w:eastAsia="等线" w:ascii="Arial" w:cs="Arial" w:hAnsi="Arial"/>
          <w:b w:val="true"/>
          <w:sz w:val="22"/>
        </w:rPr>
        <w:t>Customer Benefit</w:t>
      </w:r>
      <w:r>
        <w:rPr>
          <w:rFonts w:eastAsia="等线" w:ascii="Arial" w:cs="Arial" w:hAnsi="Arial"/>
          <w:sz w:val="22"/>
        </w:rPr>
        <w:t>:</w:t>
      </w:r>
    </w:p>
    <w:p>
      <w:pPr>
        <w:spacing w:before="120" w:after="120" w:line="288" w:lineRule="auto"/>
        <w:ind w:left="0"/>
        <w:jc w:val="left"/>
      </w:pPr>
      <w:r>
        <w:rPr>
          <w:rFonts w:eastAsia="等线" w:ascii="Arial" w:cs="Arial" w:hAnsi="Arial"/>
          <w:i w:val="true"/>
          <w:color w:val="646a73"/>
          <w:sz w:val="22"/>
        </w:rPr>
        <w:t>"No need to bet the entire business on a new platform. Use Morfund capital to test; scale up when it works."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 w:id="7"/>
      <w:r>
        <w:rPr>
          <w:rFonts w:eastAsia="等线" w:ascii="Arial" w:cs="Arial" w:hAnsi="Arial"/>
          <w:b w:val="true"/>
          <w:sz w:val="30"/>
        </w:rPr>
        <w:t>Scenario 3: New Category Testing</w:t>
      </w:r>
      <w:bookmarkEnd w:id="7"/>
    </w:p>
    <w:p>
      <w:pPr>
        <w:spacing w:before="120" w:after="120" w:line="288" w:lineRule="auto"/>
        <w:ind w:left="0"/>
        <w:jc w:val="left"/>
      </w:pPr>
      <w:r>
        <w:rPr>
          <w:rFonts w:eastAsia="等线" w:ascii="Arial" w:cs="Arial" w:hAnsi="Arial"/>
          <w:b w:val="true"/>
          <w:sz w:val="22"/>
        </w:rPr>
        <w:t>Background</w:t>
      </w:r>
      <w:r>
        <w:rPr>
          <w:rFonts w:eastAsia="等线" w:ascii="Arial" w:cs="Arial" w:hAnsi="Arial"/>
          <w:sz w:val="22"/>
        </w:rPr>
        <w:t>: Sellers want to test new categories (e.g., from home goods to outdoor gear) but are uncertain about market response and reluctant to deploy all self-owned capital.</w:t>
      </w:r>
    </w:p>
    <w:p>
      <w:pPr>
        <w:spacing w:before="120" w:after="120" w:line="288" w:lineRule="auto"/>
        <w:ind w:left="0"/>
        <w:jc w:val="left"/>
      </w:pPr>
      <w:r>
        <w:rPr>
          <w:rFonts w:eastAsia="等线" w:ascii="Arial" w:cs="Arial" w:hAnsi="Arial"/>
          <w:b w:val="true"/>
          <w:sz w:val="22"/>
        </w:rPr>
        <w:t>Morfund Solution</w:t>
      </w:r>
      <w:r>
        <w:rPr>
          <w:rFonts w:eastAsia="等线" w:ascii="Arial" w:cs="Arial" w:hAnsi="Arial"/>
          <w:sz w:val="22"/>
        </w:rPr>
        <w:t>:</w:t>
      </w:r>
    </w:p>
    <w:p>
      <w:pPr>
        <w:numPr>
          <w:numId w:val="7"/>
        </w:numPr>
        <w:spacing w:before="120" w:after="120" w:line="288" w:lineRule="auto"/>
        <w:ind w:left="0"/>
        <w:jc w:val="left"/>
      </w:pPr>
      <w:r>
        <w:rPr>
          <w:rFonts w:eastAsia="等线" w:ascii="Arial" w:cs="Arial" w:hAnsi="Arial"/>
          <w:sz w:val="22"/>
        </w:rPr>
        <w:t>Flexible drawdown — withdraw only what you need</w:t>
      </w:r>
    </w:p>
    <w:p>
      <w:pPr>
        <w:numPr>
          <w:numId w:val="8"/>
        </w:numPr>
        <w:spacing w:before="120" w:after="120" w:line="288" w:lineRule="auto"/>
        <w:ind w:left="0"/>
        <w:jc w:val="left"/>
      </w:pPr>
      <w:r>
        <w:rPr>
          <w:rFonts w:eastAsia="等线" w:ascii="Arial" w:cs="Arial" w:hAnsi="Arial"/>
          <w:sz w:val="22"/>
        </w:rPr>
        <w:t>Interest-first repayment — lower capital pressure in early stages</w:t>
      </w:r>
    </w:p>
    <w:p>
      <w:pPr>
        <w:numPr>
          <w:numId w:val="9"/>
        </w:numPr>
        <w:spacing w:before="120" w:after="120" w:line="288" w:lineRule="auto"/>
        <w:ind w:left="0"/>
        <w:jc w:val="left"/>
      </w:pPr>
      <w:r>
        <w:rPr>
          <w:rFonts w:eastAsia="等线" w:ascii="Arial" w:cs="Arial" w:hAnsi="Arial"/>
          <w:sz w:val="22"/>
        </w:rPr>
        <w:t>Hong Kong entity disbursement — flexible cross-border settlement</w:t>
      </w:r>
    </w:p>
    <w:p>
      <w:pPr>
        <w:spacing w:before="120" w:after="120" w:line="288" w:lineRule="auto"/>
        <w:ind w:left="0"/>
        <w:jc w:val="left"/>
      </w:pPr>
      <w:r>
        <w:rPr>
          <w:rFonts w:eastAsia="等线" w:ascii="Arial" w:cs="Arial" w:hAnsi="Arial"/>
          <w:b w:val="true"/>
          <w:sz w:val="22"/>
        </w:rPr>
        <w:t>Customer Benefit</w:t>
      </w:r>
      <w:r>
        <w:rPr>
          <w:rFonts w:eastAsia="等线" w:ascii="Arial" w:cs="Arial" w:hAnsi="Arial"/>
          <w:sz w:val="22"/>
        </w:rPr>
        <w:t>:</w:t>
      </w:r>
    </w:p>
    <w:p>
      <w:pPr>
        <w:spacing w:before="120" w:after="120" w:line="288" w:lineRule="auto"/>
        <w:ind w:left="0"/>
        <w:jc w:val="left"/>
      </w:pPr>
      <w:r>
        <w:rPr>
          <w:rFonts w:eastAsia="等线" w:ascii="Arial" w:cs="Arial" w:hAnsi="Arial"/>
          <w:i w:val="true"/>
          <w:color w:val="646a73"/>
          <w:sz w:val="22"/>
        </w:rPr>
        <w:t>"Use Morfund money to test new products; keep your own capital as a safety net. Risk stays controlled."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 w:id="8"/>
      <w:r>
        <w:rPr>
          <w:rFonts w:eastAsia="等线" w:ascii="Arial" w:cs="Arial" w:hAnsi="Arial"/>
          <w:b w:val="true"/>
          <w:sz w:val="30"/>
        </w:rPr>
        <w:t>Scenario 4: FX Risk Hedging</w:t>
      </w:r>
      <w:bookmarkEnd w:id="8"/>
    </w:p>
    <w:p>
      <w:pPr>
        <w:spacing w:before="120" w:after="120" w:line="288" w:lineRule="auto"/>
        <w:ind w:left="0"/>
        <w:jc w:val="left"/>
      </w:pPr>
      <w:r>
        <w:rPr>
          <w:rFonts w:eastAsia="等线" w:ascii="Arial" w:cs="Arial" w:hAnsi="Arial"/>
          <w:b w:val="true"/>
          <w:sz w:val="22"/>
        </w:rPr>
        <w:t>Background</w:t>
      </w:r>
      <w:r>
        <w:rPr>
          <w:rFonts w:eastAsia="等线" w:ascii="Arial" w:cs="Arial" w:hAnsi="Arial"/>
          <w:sz w:val="22"/>
        </w:rPr>
        <w:t>: RMB volatility is high; sellers worry about future RMB appreciation eroding profits.</w:t>
      </w:r>
    </w:p>
    <w:p>
      <w:pPr>
        <w:spacing w:before="120" w:after="120" w:line="288" w:lineRule="auto"/>
        <w:ind w:left="0"/>
        <w:jc w:val="left"/>
      </w:pPr>
      <w:r>
        <w:rPr>
          <w:rFonts w:eastAsia="等线" w:ascii="Arial" w:cs="Arial" w:hAnsi="Arial"/>
          <w:b w:val="true"/>
          <w:sz w:val="22"/>
        </w:rPr>
        <w:t>Morfund Solution</w:t>
      </w:r>
      <w:r>
        <w:rPr>
          <w:rFonts w:eastAsia="等线" w:ascii="Arial" w:cs="Arial" w:hAnsi="Arial"/>
          <w:sz w:val="22"/>
        </w:rPr>
        <w:t>:</w:t>
      </w:r>
    </w:p>
    <w:p>
      <w:pPr>
        <w:numPr>
          <w:numId w:val="10"/>
        </w:numPr>
        <w:spacing w:before="120" w:after="120" w:line="288" w:lineRule="auto"/>
        <w:ind w:left="0"/>
        <w:jc w:val="left"/>
      </w:pPr>
      <w:r>
        <w:rPr>
          <w:rFonts w:eastAsia="等线" w:ascii="Arial" w:cs="Arial" w:hAnsi="Arial"/>
          <w:b w:val="true"/>
          <w:sz w:val="22"/>
        </w:rPr>
        <w:t>USD direct disbursement</w:t>
      </w:r>
      <w:r>
        <w:rPr>
          <w:rFonts w:eastAsia="等线" w:ascii="Arial" w:cs="Arial" w:hAnsi="Arial"/>
          <w:sz w:val="22"/>
        </w:rPr>
        <w:t xml:space="preserve"> — revenue and expenditure in same currency, naturally hedging FX risk</w:t>
      </w:r>
    </w:p>
    <w:p>
      <w:pPr>
        <w:numPr>
          <w:numId w:val="11"/>
        </w:numPr>
        <w:spacing w:before="120" w:after="120" w:line="288" w:lineRule="auto"/>
        <w:ind w:left="0"/>
        <w:jc w:val="left"/>
      </w:pPr>
      <w:r>
        <w:rPr>
          <w:rFonts w:eastAsia="等线" w:ascii="Arial" w:cs="Arial" w:hAnsi="Arial"/>
          <w:sz w:val="22"/>
        </w:rPr>
        <w:t xml:space="preserve">Also offers </w:t>
      </w:r>
      <w:r>
        <w:rPr>
          <w:rFonts w:eastAsia="等线" w:ascii="Arial" w:cs="Arial" w:hAnsi="Arial"/>
          <w:b w:val="true"/>
          <w:sz w:val="22"/>
        </w:rPr>
        <w:t>offshore RMB (HBR + 4%)</w:t>
      </w:r>
      <w:r>
        <w:rPr>
          <w:rFonts w:eastAsia="等线" w:ascii="Arial" w:cs="Arial" w:hAnsi="Arial"/>
          <w:sz w:val="22"/>
        </w:rPr>
        <w:t xml:space="preserve"> for flexibility in responding to exchange rate movements</w:t>
      </w:r>
    </w:p>
    <w:p>
      <w:pPr>
        <w:numPr>
          <w:numId w:val="12"/>
        </w:numPr>
        <w:spacing w:before="120" w:after="120" w:line="288" w:lineRule="auto"/>
        <w:ind w:left="0"/>
        <w:jc w:val="left"/>
      </w:pPr>
      <w:r>
        <w:rPr>
          <w:rFonts w:eastAsia="等线" w:ascii="Arial" w:cs="Arial" w:hAnsi="Arial"/>
          <w:sz w:val="22"/>
        </w:rPr>
        <w:t>HK account settlement — greater freedom in cross-border capital allocation</w:t>
      </w:r>
    </w:p>
    <w:p>
      <w:pPr>
        <w:spacing w:before="120" w:after="120" w:line="288" w:lineRule="auto"/>
        <w:ind w:left="0"/>
        <w:jc w:val="left"/>
      </w:pPr>
      <w:r>
        <w:rPr>
          <w:rFonts w:eastAsia="等线" w:ascii="Arial" w:cs="Arial" w:hAnsi="Arial"/>
          <w:b w:val="true"/>
          <w:sz w:val="22"/>
        </w:rPr>
        <w:t>Customer Benefit</w:t>
      </w:r>
      <w:r>
        <w:rPr>
          <w:rFonts w:eastAsia="等线" w:ascii="Arial" w:cs="Arial" w:hAnsi="Arial"/>
          <w:sz w:val="22"/>
        </w:rPr>
        <w:t>:</w:t>
      </w:r>
    </w:p>
    <w:p>
      <w:pPr>
        <w:spacing w:before="120" w:after="120" w:line="288" w:lineRule="auto"/>
        <w:ind w:left="0"/>
        <w:jc w:val="left"/>
      </w:pPr>
      <w:r>
        <w:rPr>
          <w:rFonts w:eastAsia="等线" w:ascii="Arial" w:cs="Arial" w:hAnsi="Arial"/>
          <w:i w:val="true"/>
          <w:color w:val="646a73"/>
          <w:sz w:val="22"/>
        </w:rPr>
        <w:t>"Borrow in USD, repay in USD. No need to bet on exchange rates. Just focus on selling."</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b w:val="true"/>
          <w:sz w:val="30"/>
        </w:rPr>
        <w:t>Scenario 5: HK Entity Compliant Financing</w:t>
      </w:r>
      <w:bookmarkEnd w:id="9"/>
    </w:p>
    <w:p>
      <w:pPr>
        <w:spacing w:before="120" w:after="120" w:line="288" w:lineRule="auto"/>
        <w:ind w:left="0"/>
        <w:jc w:val="left"/>
      </w:pPr>
      <w:r>
        <w:rPr>
          <w:rFonts w:eastAsia="等线" w:ascii="Arial" w:cs="Arial" w:hAnsi="Arial"/>
          <w:b w:val="true"/>
          <w:sz w:val="22"/>
        </w:rPr>
        <w:t>Background</w:t>
      </w:r>
      <w:r>
        <w:rPr>
          <w:rFonts w:eastAsia="等线" w:ascii="Arial" w:cs="Arial" w:hAnsi="Arial"/>
          <w:sz w:val="22"/>
        </w:rPr>
        <w:t>: Sellers operate stores through Hong Kong entities, but local HK banks have difficult access, high barriers, and low limits.</w:t>
      </w:r>
    </w:p>
    <w:p>
      <w:pPr>
        <w:spacing w:before="120" w:after="120" w:line="288" w:lineRule="auto"/>
        <w:ind w:left="0"/>
        <w:jc w:val="left"/>
      </w:pPr>
      <w:r>
        <w:rPr>
          <w:rFonts w:eastAsia="等线" w:ascii="Arial" w:cs="Arial" w:hAnsi="Arial"/>
          <w:b w:val="true"/>
          <w:sz w:val="22"/>
        </w:rPr>
        <w:t>Morfund Solution</w:t>
      </w:r>
      <w:r>
        <w:rPr>
          <w:rFonts w:eastAsia="等线" w:ascii="Arial" w:cs="Arial" w:hAnsi="Arial"/>
          <w:sz w:val="22"/>
        </w:rPr>
        <w:t>:</w:t>
      </w:r>
    </w:p>
    <w:p>
      <w:pPr>
        <w:numPr>
          <w:numId w:val="13"/>
        </w:numPr>
        <w:spacing w:before="120" w:after="120" w:line="288" w:lineRule="auto"/>
        <w:ind w:left="0"/>
        <w:jc w:val="left"/>
      </w:pPr>
      <w:r>
        <w:rPr>
          <w:rFonts w:eastAsia="等线" w:ascii="Arial" w:cs="Arial" w:hAnsi="Arial"/>
          <w:sz w:val="22"/>
        </w:rPr>
        <w:t xml:space="preserve">Designed specifically for </w:t>
      </w:r>
      <w:r>
        <w:rPr>
          <w:rFonts w:eastAsia="等线" w:ascii="Arial" w:cs="Arial" w:hAnsi="Arial"/>
          <w:b w:val="true"/>
          <w:sz w:val="22"/>
        </w:rPr>
        <w:t>Hong Kong companies</w:t>
      </w:r>
      <w:r>
        <w:rPr>
          <w:rFonts w:eastAsia="等线" w:ascii="Arial" w:cs="Arial" w:hAnsi="Arial"/>
          <w:sz w:val="22"/>
        </w:rPr>
        <w:t xml:space="preserve"> — no need for mainland affiliate guarantees</w:t>
      </w:r>
    </w:p>
    <w:p>
      <w:pPr>
        <w:numPr>
          <w:numId w:val="14"/>
        </w:numPr>
        <w:spacing w:before="120" w:after="120" w:line="288" w:lineRule="auto"/>
        <w:ind w:left="0"/>
        <w:jc w:val="left"/>
      </w:pPr>
      <w:r>
        <w:rPr>
          <w:rFonts w:eastAsia="等线" w:ascii="Arial" w:cs="Arial" w:hAnsi="Arial"/>
          <w:sz w:val="22"/>
        </w:rPr>
        <w:t xml:space="preserve">Limits up to </w:t>
      </w:r>
      <w:r>
        <w:rPr>
          <w:rFonts w:eastAsia="等线" w:ascii="Arial" w:cs="Arial" w:hAnsi="Arial"/>
          <w:b w:val="true"/>
          <w:sz w:val="22"/>
        </w:rPr>
        <w:t>USD 10 million</w:t>
      </w:r>
      <w:r>
        <w:rPr>
          <w:rFonts w:eastAsia="等线" w:ascii="Arial" w:cs="Arial" w:hAnsi="Arial"/>
          <w:sz w:val="22"/>
        </w:rPr>
        <w:t>, far exceeding similar HK local bank products</w:t>
      </w:r>
    </w:p>
    <w:p>
      <w:pPr>
        <w:numPr>
          <w:numId w:val="15"/>
        </w:numPr>
        <w:spacing w:before="120" w:after="120" w:line="288" w:lineRule="auto"/>
        <w:ind w:left="0"/>
        <w:jc w:val="left"/>
      </w:pPr>
      <w:r>
        <w:rPr>
          <w:rFonts w:eastAsia="等线" w:ascii="Arial" w:cs="Arial" w:hAnsi="Arial"/>
          <w:sz w:val="22"/>
        </w:rPr>
        <w:t>Green channel account opening — fastest path to secure an HSBC HK account</w:t>
      </w:r>
    </w:p>
    <w:p>
      <w:pPr>
        <w:spacing w:before="120" w:after="120" w:line="288" w:lineRule="auto"/>
        <w:ind w:left="0"/>
        <w:jc w:val="left"/>
      </w:pPr>
      <w:r>
        <w:rPr>
          <w:rFonts w:eastAsia="等线" w:ascii="Arial" w:cs="Arial" w:hAnsi="Arial"/>
          <w:b w:val="true"/>
          <w:sz w:val="22"/>
        </w:rPr>
        <w:t>Customer Benefit</w:t>
      </w:r>
      <w:r>
        <w:rPr>
          <w:rFonts w:eastAsia="等线" w:ascii="Arial" w:cs="Arial" w:hAnsi="Arial"/>
          <w:sz w:val="22"/>
        </w:rPr>
        <w:t>:</w:t>
      </w:r>
    </w:p>
    <w:p>
      <w:pPr>
        <w:spacing w:before="120" w:after="120" w:line="288" w:lineRule="auto"/>
        <w:ind w:left="0"/>
        <w:jc w:val="left"/>
      </w:pPr>
      <w:r>
        <w:rPr>
          <w:rFonts w:eastAsia="等线" w:ascii="Arial" w:cs="Arial" w:hAnsi="Arial"/>
          <w:i w:val="true"/>
          <w:color w:val="646a73"/>
          <w:sz w:val="22"/>
        </w:rPr>
        <w:t>"Finally, a HK company can access financing. No need to route through mainland entities. Simpler tax and compliance."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b w:val="true"/>
          <w:sz w:val="32"/>
        </w:rPr>
        <w:t>VI. Seller Testimonials</w:t>
      </w:r>
      <w:bookmarkEnd w:id="10"/>
    </w:p>
    <w:p>
      <w:pPr>
        <w:spacing w:before="120" w:after="120" w:line="288" w:lineRule="auto"/>
        <w:ind w:left="0"/>
        <w:jc w:val="left"/>
      </w:pPr>
      <w:r>
        <w:rPr>
          <w:rFonts w:eastAsia="等线" w:ascii="Arial" w:cs="Arial" w:hAnsi="Arial"/>
          <w:b w:val="true"/>
          <w:i w:val="true"/>
          <w:color w:val="646a73"/>
          <w:sz w:val="22"/>
        </w:rPr>
        <w:t>Multi-Platform Seller | Amazon + Walmart Dual-Platform Operator</w:t>
      </w:r>
      <w:r>
        <w:rPr>
          <w:rFonts w:eastAsia="等线" w:ascii="Arial" w:cs="Arial" w:hAnsi="Arial"/>
          <w:i w:val="true"/>
          <w:color w:val="646a73"/>
          <w:sz w:val="22"/>
        </w:rPr>
        <w:t>"Needed inventory on both Amazon and Walmart; used to rob Peter to pay Paul. Morfund assessed both stores together and approved USD 800K total. Finally stopped obsessing over cash flow every day."</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i w:val="true"/>
          <w:color w:val="646a73"/>
          <w:sz w:val="22"/>
        </w:rPr>
        <w:t>Hong Kong Entity Seller | USD 10M Annual Sales</w:t>
      </w:r>
      <w:r>
        <w:rPr>
          <w:rFonts w:eastAsia="等线" w:ascii="Arial" w:cs="Arial" w:hAnsi="Arial"/>
          <w:i w:val="true"/>
          <w:color w:val="646a73"/>
          <w:sz w:val="22"/>
        </w:rPr>
        <w:t xml:space="preserve">"Hong Kong companies struggle to get financing directly from banks. Through Dowsure's cross-border e-commerce USD loan, they looked at store data and approved USD 1M directly. Chose offshore RMB financing at </w:t>
      </w:r>
      <w:r>
        <w:rPr>
          <w:rFonts w:eastAsia="等线" w:ascii="Arial" w:cs="Arial" w:hAnsi="Arial"/>
          <w:i w:val="true"/>
          <w:color w:val="646a73"/>
          <w:sz w:val="22"/>
        </w:rPr>
        <w:t>~5% annualized. Funds into HK account — tax handling is convenient too."</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i w:val="true"/>
          <w:color w:val="646a73"/>
          <w:sz w:val="22"/>
        </w:rPr>
        <w:t>New Category Expansion Seller | Home Goods → Outdoor Gear</w:t>
      </w:r>
      <w:r>
        <w:rPr>
          <w:rFonts w:eastAsia="等线" w:ascii="Arial" w:cs="Arial" w:hAnsi="Arial"/>
          <w:i w:val="true"/>
          <w:color w:val="646a73"/>
          <w:sz w:val="22"/>
        </w:rPr>
        <w:t>"Wanted to test outdoor products but didn't dare commit all my capital. Morfund's flexible drawdown let me pull USD 80K for testing. Will add more when it sells. Keeping my own money as a cushion — much more at ease."</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i w:val="true"/>
          <w:sz w:val="22"/>
        </w:rPr>
        <w:t>Document translated by Jarvis-PM | 2026-05-13</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8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东东 | Ocean 0861"/>
          <v:fill opacity="0.3"/>
        </v:shape>
      </w:pict>
    </w:r>
  </w:p>
</w:hdr>
</file>

<file path=word/numbering.xml><?xml version="1.0" encoding="utf-8"?>
<w:numbering xmlns:w="http://schemas.openxmlformats.org/wordprocessingml/2006/main">
  <w:abstractNum w:abstractNumId="821765">
    <w:lvl>
      <w:numFmt w:val="bullet"/>
      <w:suff w:val="tab"/>
      <w:lvlText w:val="•"/>
      <w:rPr>
        <w:color w:val="3370ff"/>
      </w:rPr>
    </w:lvl>
  </w:abstractNum>
  <w:abstractNum w:abstractNumId="821766">
    <w:lvl>
      <w:numFmt w:val="bullet"/>
      <w:suff w:val="tab"/>
      <w:lvlText w:val="•"/>
      <w:rPr>
        <w:color w:val="3370ff"/>
      </w:rPr>
    </w:lvl>
  </w:abstractNum>
  <w:abstractNum w:abstractNumId="821767">
    <w:lvl>
      <w:numFmt w:val="bullet"/>
      <w:suff w:val="tab"/>
      <w:lvlText w:val="•"/>
      <w:rPr>
        <w:color w:val="3370ff"/>
      </w:rPr>
    </w:lvl>
  </w:abstractNum>
  <w:abstractNum w:abstractNumId="821768">
    <w:lvl>
      <w:numFmt w:val="bullet"/>
      <w:suff w:val="tab"/>
      <w:lvlText w:val="•"/>
      <w:rPr>
        <w:color w:val="3370ff"/>
      </w:rPr>
    </w:lvl>
  </w:abstractNum>
  <w:abstractNum w:abstractNumId="821769">
    <w:lvl>
      <w:numFmt w:val="bullet"/>
      <w:suff w:val="tab"/>
      <w:lvlText w:val="•"/>
      <w:rPr>
        <w:color w:val="3370ff"/>
      </w:rPr>
    </w:lvl>
  </w:abstractNum>
  <w:abstractNum w:abstractNumId="821770">
    <w:lvl>
      <w:numFmt w:val="bullet"/>
      <w:suff w:val="tab"/>
      <w:lvlText w:val="•"/>
      <w:rPr>
        <w:color w:val="3370ff"/>
      </w:rPr>
    </w:lvl>
  </w:abstractNum>
  <w:abstractNum w:abstractNumId="821771">
    <w:lvl>
      <w:numFmt w:val="bullet"/>
      <w:suff w:val="tab"/>
      <w:lvlText w:val="•"/>
      <w:rPr>
        <w:color w:val="3370ff"/>
      </w:rPr>
    </w:lvl>
  </w:abstractNum>
  <w:abstractNum w:abstractNumId="821772">
    <w:lvl>
      <w:numFmt w:val="bullet"/>
      <w:suff w:val="tab"/>
      <w:lvlText w:val="•"/>
      <w:rPr>
        <w:color w:val="3370ff"/>
      </w:rPr>
    </w:lvl>
  </w:abstractNum>
  <w:abstractNum w:abstractNumId="821773">
    <w:lvl>
      <w:numFmt w:val="bullet"/>
      <w:suff w:val="tab"/>
      <w:lvlText w:val="•"/>
      <w:rPr>
        <w:color w:val="3370ff"/>
      </w:rPr>
    </w:lvl>
  </w:abstractNum>
  <w:abstractNum w:abstractNumId="821774">
    <w:lvl>
      <w:numFmt w:val="bullet"/>
      <w:suff w:val="tab"/>
      <w:lvlText w:val="•"/>
      <w:rPr>
        <w:color w:val="3370ff"/>
      </w:rPr>
    </w:lvl>
  </w:abstractNum>
  <w:abstractNum w:abstractNumId="821775">
    <w:lvl>
      <w:numFmt w:val="bullet"/>
      <w:suff w:val="tab"/>
      <w:lvlText w:val="•"/>
      <w:rPr>
        <w:color w:val="3370ff"/>
      </w:rPr>
    </w:lvl>
  </w:abstractNum>
  <w:abstractNum w:abstractNumId="821776">
    <w:lvl>
      <w:numFmt w:val="bullet"/>
      <w:suff w:val="tab"/>
      <w:lvlText w:val="•"/>
      <w:rPr>
        <w:color w:val="3370ff"/>
      </w:rPr>
    </w:lvl>
  </w:abstractNum>
  <w:abstractNum w:abstractNumId="821777">
    <w:lvl>
      <w:numFmt w:val="bullet"/>
      <w:suff w:val="tab"/>
      <w:lvlText w:val="•"/>
      <w:rPr>
        <w:color w:val="3370ff"/>
      </w:rPr>
    </w:lvl>
  </w:abstractNum>
  <w:abstractNum w:abstractNumId="821778">
    <w:lvl>
      <w:numFmt w:val="bullet"/>
      <w:suff w:val="tab"/>
      <w:lvlText w:val="•"/>
      <w:rPr>
        <w:color w:val="3370ff"/>
      </w:rPr>
    </w:lvl>
  </w:abstractNum>
  <w:abstractNum w:abstractNumId="821779">
    <w:lvl>
      <w:numFmt w:val="bullet"/>
      <w:suff w:val="tab"/>
      <w:lvlText w:val="•"/>
      <w:rPr>
        <w:color w:val="3370ff"/>
      </w:rPr>
    </w:lvl>
  </w:abstractNum>
  <w:num w:numId="1">
    <w:abstractNumId w:val="821765"/>
  </w:num>
  <w:num w:numId="2">
    <w:abstractNumId w:val="821766"/>
  </w:num>
  <w:num w:numId="3">
    <w:abstractNumId w:val="821767"/>
  </w:num>
  <w:num w:numId="4">
    <w:abstractNumId w:val="821768"/>
  </w:num>
  <w:num w:numId="5">
    <w:abstractNumId w:val="821769"/>
  </w:num>
  <w:num w:numId="6">
    <w:abstractNumId w:val="821770"/>
  </w:num>
  <w:num w:numId="7">
    <w:abstractNumId w:val="821771"/>
  </w:num>
  <w:num w:numId="8">
    <w:abstractNumId w:val="821772"/>
  </w:num>
  <w:num w:numId="9">
    <w:abstractNumId w:val="821773"/>
  </w:num>
  <w:num w:numId="10">
    <w:abstractNumId w:val="821774"/>
  </w:num>
  <w:num w:numId="11">
    <w:abstractNumId w:val="821775"/>
  </w:num>
  <w:num w:numId="12">
    <w:abstractNumId w:val="821776"/>
  </w:num>
  <w:num w:numId="13">
    <w:abstractNumId w:val="821777"/>
  </w:num>
  <w:num w:numId="14">
    <w:abstractNumId w:val="821778"/>
  </w:num>
  <w:num w:numId="15">
    <w:abstractNumId w:val="82177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2026-05-15T03:31:19Z</dcterms:created>
  <dc:creator>Apache POI</dc:creator>
</cp:coreProperties>
</file>