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D9" w:rsidRPr="008416F1" w:rsidRDefault="00ED03D9" w:rsidP="002C164E">
      <w:pPr>
        <w:jc w:val="center"/>
        <w:rPr>
          <w:sz w:val="32"/>
          <w:szCs w:val="36"/>
        </w:rPr>
      </w:pPr>
      <w:r w:rsidRPr="00EF79C0">
        <w:rPr>
          <w:sz w:val="32"/>
          <w:szCs w:val="36"/>
        </w:rPr>
        <w:t xml:space="preserve">ОБОРУДОВАНИЕ </w:t>
      </w:r>
      <w:r w:rsidR="00BE52C1">
        <w:rPr>
          <w:sz w:val="32"/>
          <w:szCs w:val="36"/>
        </w:rPr>
        <w:t xml:space="preserve">ДЛЯ </w:t>
      </w:r>
      <w:r w:rsidR="008416F1">
        <w:rPr>
          <w:sz w:val="32"/>
          <w:szCs w:val="36"/>
        </w:rPr>
        <w:t>ПРЕЦИЗИОННЫХ КОНДИЦИОНЕРОВ</w:t>
      </w:r>
    </w:p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>
      <w:pPr>
        <w:rPr>
          <w:sz w:val="32"/>
          <w:szCs w:val="36"/>
        </w:rPr>
      </w:pPr>
    </w:p>
    <w:p w:rsidR="00ED03D9" w:rsidRDefault="00ED03D9" w:rsidP="00ED03D9">
      <w:pPr>
        <w:rPr>
          <w:sz w:val="32"/>
          <w:szCs w:val="36"/>
        </w:rPr>
      </w:pPr>
    </w:p>
    <w:p w:rsidR="002C164E" w:rsidRPr="00EF79C0" w:rsidRDefault="002C164E" w:rsidP="00ED03D9">
      <w:pPr>
        <w:rPr>
          <w:sz w:val="32"/>
          <w:szCs w:val="36"/>
        </w:rPr>
      </w:pPr>
    </w:p>
    <w:p w:rsidR="00ED03D9" w:rsidRPr="001313D8" w:rsidRDefault="00ED03D9" w:rsidP="00ED03D9">
      <w:pPr>
        <w:jc w:val="center"/>
        <w:rPr>
          <w:sz w:val="32"/>
          <w:szCs w:val="36"/>
        </w:rPr>
      </w:pPr>
      <w:r>
        <w:rPr>
          <w:sz w:val="32"/>
          <w:szCs w:val="36"/>
        </w:rPr>
        <w:t>Карта переменных протокола «</w:t>
      </w:r>
      <w:r>
        <w:rPr>
          <w:sz w:val="32"/>
          <w:szCs w:val="36"/>
          <w:lang w:val="en-US"/>
        </w:rPr>
        <w:t>Modbus</w:t>
      </w:r>
      <w:r>
        <w:rPr>
          <w:sz w:val="32"/>
          <w:szCs w:val="36"/>
        </w:rPr>
        <w:t>»</w:t>
      </w: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2C164E" w:rsidRDefault="00ED03D9" w:rsidP="00BE52C1">
      <w:pPr>
        <w:ind w:firstLine="708"/>
        <w:jc w:val="both"/>
        <w:rPr>
          <w:rFonts w:ascii="Arial" w:hAnsi="Arial" w:cs="Arial"/>
          <w:sz w:val="14"/>
        </w:rPr>
      </w:pPr>
      <w:r w:rsidRPr="003E4091">
        <w:rPr>
          <w:sz w:val="20"/>
        </w:rPr>
        <w:lastRenderedPageBreak/>
        <w:t>Настоящ</w:t>
      </w:r>
      <w:r>
        <w:rPr>
          <w:sz w:val="20"/>
        </w:rPr>
        <w:t>ий</w:t>
      </w:r>
      <w:r w:rsidRPr="003E4091">
        <w:rPr>
          <w:sz w:val="20"/>
        </w:rPr>
        <w:t xml:space="preserve"> </w:t>
      </w:r>
      <w:r>
        <w:rPr>
          <w:sz w:val="20"/>
        </w:rPr>
        <w:t>документ</w:t>
      </w:r>
      <w:r w:rsidRPr="003E4091">
        <w:rPr>
          <w:sz w:val="20"/>
        </w:rPr>
        <w:t xml:space="preserve"> содержит текущую информацию на момент его издания, которая может быть изменена в любое время без предварительного уведомления. Между описанием и действительными функциями устройства, а также состояниями дисплея</w:t>
      </w:r>
      <w:r>
        <w:rPr>
          <w:sz w:val="20"/>
        </w:rPr>
        <w:t>,</w:t>
      </w:r>
      <w:r w:rsidRPr="003E4091">
        <w:rPr>
          <w:sz w:val="20"/>
        </w:rPr>
        <w:t xml:space="preserve"> могут наблюдаться </w:t>
      </w:r>
      <w:r>
        <w:rPr>
          <w:sz w:val="20"/>
        </w:rPr>
        <w:t xml:space="preserve">незначительные </w:t>
      </w:r>
      <w:r w:rsidRPr="003E4091">
        <w:rPr>
          <w:sz w:val="20"/>
        </w:rPr>
        <w:t>расхождения в зависимости от версии программного обеспечения, не ухудшающие работоспособность устройства.</w:t>
      </w:r>
      <w:r w:rsidR="00BE52C1">
        <w:rPr>
          <w:rFonts w:ascii="Arial" w:hAnsi="Arial" w:cs="Arial"/>
          <w:sz w:val="14"/>
        </w:rPr>
        <w:t xml:space="preserve"> </w:t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841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0" w:name="RANGE!A2:G13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Coils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(R/W)</w:t>
            </w:r>
            <w:bookmarkEnd w:id="0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8416F1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8416F1" w:rsidRPr="00416CB5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Режим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нагревателя: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т/о в работе;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т/о исключен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trHeight w:val="450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Управление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рециркуляцией: 0 – ручное, 1 – автоматическое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установки по BMS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trHeight w:val="450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всех аварий через BMS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8416F1" w:rsidRPr="00416CB5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Расписание для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установки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(массив по дням недели, 1-пн)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нет расписания,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есть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98..104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trHeight w:val="675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/автоматический сброс сигнала Пожар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416CB5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8416F1" w:rsidRPr="00416CB5" w:rsidRDefault="008416F1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защиты от заклинивания насоса</w:t>
            </w:r>
          </w:p>
        </w:tc>
        <w:tc>
          <w:tcPr>
            <w:tcW w:w="836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416CB5" w:rsidRDefault="008416F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UC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скорость соединения с CPY (9600/19200)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UA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 тип управления: дискретный/пропорциональный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UA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единицы измерения: кг/ч / фунт/ч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cост.реле</w:t>
            </w:r>
            <w:proofErr w:type="spell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тревоги при поступлении тревоги CY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114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UB1_1:</w:t>
            </w:r>
          </w:p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cлив</w:t>
            </w:r>
            <w:proofErr w:type="spell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снижения электропровод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контактором</w:t>
            </w:r>
            <w:proofErr w:type="gramEnd"/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cлив</w:t>
            </w:r>
            <w:proofErr w:type="spell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 запросе ≤2/3 от текущего (разомкнут)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общий слив из-за бездействия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индикация тревоги CL и CP на дисплее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реле тревоги нормально разомкнуто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119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периодический общий слив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UB1_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управление реле М14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Rsv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Резерв</w:t>
            </w:r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ротация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Rsv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Резерв</w:t>
            </w:r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активация установки с меньшей наработкой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8416F1" w:rsidRPr="008416F1" w:rsidTr="00841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8416F1" w:rsidRPr="008416F1" w:rsidRDefault="008416F1" w:rsidP="008416F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Rsv</w:t>
            </w:r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Резерв</w:t>
            </w:r>
            <w:proofErr w:type="gramEnd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состояние установок при пропадании связи</w:t>
            </w:r>
          </w:p>
        </w:tc>
        <w:tc>
          <w:tcPr>
            <w:tcW w:w="836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8416F1" w:rsidRPr="008416F1" w:rsidRDefault="008416F1" w:rsidP="008416F1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8416F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26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1" w:name="RANGE!A15:G112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Discrete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1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264939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Основной нагреватель 1.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Электронагрев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Флаг отсутствия аварии перегрева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3-фазного ввода питания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264939" w:rsidTr="00264939">
        <w:trPr>
          <w:trHeight w:val="300"/>
        </w:trPr>
        <w:tc>
          <w:tcPr>
            <w:tcW w:w="5564" w:type="dxa"/>
            <w:hideMark/>
          </w:tcPr>
          <w:p w:rsidR="00264939" w:rsidRPr="00264939" w:rsidRDefault="00264939" w:rsidP="00264939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Угроза замерзания водяного т/о по аварии насоса (SF авт. насоса)</w:t>
            </w:r>
          </w:p>
        </w:tc>
        <w:tc>
          <w:tcPr>
            <w:tcW w:w="836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670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264939" w:rsidRPr="00264939" w:rsidRDefault="00264939" w:rsidP="0026493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64939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Команда внешнего управления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Обратная связь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Угроза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замерз.водяного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т/о по 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воздуху(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Капиллярный термостат TZ)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Имеются предупреждения / системные сообщения для Пользователя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подсчета числа записей в постоянную память.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записи в постоянную память.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приточного вентилятора.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преднагрева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Недостижение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целевой температуры 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воды..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температуры воды до опасного минимума по датчику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Tw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насоса/капиллярного термостата.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Полный отказ ХМ.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1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2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3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1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2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3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Перегрев компрессора 1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2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3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ДВД1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ДВД2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по ДНД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1.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2.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3.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по реле контроля фаз.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со шкафом управления.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со шкафом установки.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 модулем расширения шкафа D-TOP.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Неисправность модуля расширения шкафа D-TOP.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температуры обратной воды.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1.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2.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низкого давления.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наружной температуры.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приточной температуры.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воздуха ДО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влажн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вытяж.воздуха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ДО </w:t>
            </w: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основного фильтра приточного воздуха.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концентрации VOC.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пред.нагревателя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шкафа э/нагрева.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Нагреватель шкафа.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4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5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6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7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8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Выход управления насосом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264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жидкости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удаленного мониторинга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ОК)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удаленного мониторинга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Положение программного выключателя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работы установки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режим ожидания,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в работе)</w:t>
            </w:r>
          </w:p>
        </w:tc>
        <w:tc>
          <w:tcPr>
            <w:tcW w:w="836" w:type="dxa"/>
            <w:hideMark/>
          </w:tcPr>
          <w:p w:rsidR="00BB330E" w:rsidRPr="00647436" w:rsidRDefault="00BB330E" w:rsidP="00BB330E"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153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154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155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157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158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161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64939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BB330E" w:rsidRPr="00416CB5" w:rsidRDefault="00BB330E" w:rsidP="00BB330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BB330E" w:rsidRPr="00BB330E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BB330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BB330E" w:rsidRPr="00416CB5" w:rsidRDefault="00BB330E" w:rsidP="00BB330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1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163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2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164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3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165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1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166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2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167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3 (реле давления).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168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1 по термостату линии нагнетания.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169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2 по термостату линии нагнетания.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170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3 по термостату линии нагнетания.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171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ДВД1 (уставка).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172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ДВД2 (уставка).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173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по ДНД (уставка).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174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1.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175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2.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176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5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3.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177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1.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178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415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2.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179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низкого давления. 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(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контур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180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181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182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183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1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184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185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3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186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жидкости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  <w:szCs w:val="16"/>
              </w:rPr>
            </w:pPr>
            <w:r w:rsidRPr="00F536B8">
              <w:rPr>
                <w:sz w:val="16"/>
                <w:szCs w:val="16"/>
              </w:rPr>
              <w:t>187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4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2" w:name="RANGE!A114:G135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2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416CB5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приточном канале.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F536B8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F536B8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F536B8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F536B8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Текущее время в секундах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UDINT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F536B8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Режимы работы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F536B8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1.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F536B8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2.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F536B8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AO 3-ходовым клапаном водяного нагревателя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F536B8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Наружные.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</w:rPr>
            </w:pPr>
            <w:r w:rsidRPr="00F536B8">
              <w:rPr>
                <w:sz w:val="16"/>
              </w:rPr>
              <w:t>234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F536B8" w:rsidRPr="00416CB5" w:rsidTr="00F53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</w:rPr>
            </w:pPr>
            <w:r w:rsidRPr="00F536B8">
              <w:rPr>
                <w:sz w:val="16"/>
              </w:rPr>
              <w:t>236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F536B8" w:rsidRPr="00416CB5" w:rsidTr="00F536B8">
        <w:trPr>
          <w:trHeight w:val="300"/>
        </w:trPr>
        <w:tc>
          <w:tcPr>
            <w:tcW w:w="5564" w:type="dxa"/>
            <w:hideMark/>
          </w:tcPr>
          <w:p w:rsidR="00F536B8" w:rsidRPr="00416CB5" w:rsidRDefault="00F536B8" w:rsidP="00F536B8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(контур 2)</w:t>
            </w:r>
          </w:p>
        </w:tc>
        <w:tc>
          <w:tcPr>
            <w:tcW w:w="836" w:type="dxa"/>
            <w:hideMark/>
          </w:tcPr>
          <w:p w:rsidR="00F536B8" w:rsidRPr="00F536B8" w:rsidRDefault="00F536B8" w:rsidP="00F536B8">
            <w:pPr>
              <w:rPr>
                <w:sz w:val="16"/>
              </w:rPr>
            </w:pPr>
            <w:r w:rsidRPr="00F536B8">
              <w:rPr>
                <w:sz w:val="16"/>
              </w:rPr>
              <w:t>238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F536B8" w:rsidRPr="00416CB5" w:rsidRDefault="00F536B8" w:rsidP="00F536B8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</w:tbl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74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3" w:name="RANGE!A137:G246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Holding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(R/W)</w:t>
            </w:r>
            <w:bookmarkEnd w:id="3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7402EA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переходов между режимами работы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Независимая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масштабирования для абсолютного режима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(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Зона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пропорц.регулятора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в помещении. Зона = Ts10 ± Tb10/2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для ПИ-рег. помещения (каскадный мастер)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температуры в помещении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Зона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влажности. Зона = Hs01 ± Hd01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Значение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наружной темп., перехода нагревателя в зимний режим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Wd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«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зимний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-летний» водяного нагревателя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обратной воды в дежурном режиме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Зона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дежурного режима. Зона = Ws01 ± Wp01/2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т/о в дежурном режиме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Критическое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значение температуры обратной воды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начала превентивных действий акт. защиты  от замерзания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оконч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превентивных действий акт. защиты  от замерзания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Ws07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макс. открытия 3-х. клапана для активной защиты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кол-во повторений угрозы замерзания по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темп.обратной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воды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наружная температура при максимальной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Мнимальная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максимального времени прогрева теплообменника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Тайм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-аут повтора попытки прогрева теплообменника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открытие 3-х. клапана для автомат. включения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выключения насоса водяного узла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степень открытия заслонок наружного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Степень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открытия наружных заслонок в режиме замены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давления нейтральной зоны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нейтральной зоны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вниз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вверх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полосы модуляции времени переключения комп. «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вниз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вниз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полосы модуляции времени переключения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комп.«вверх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 набор скорости вентиляторов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Модель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Тип нагрева (0-нет, 1-Водяной т/о, 2-9 -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(1-8 ступ.))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снижения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1K/10s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комфортной зоны для ПИ-регулятора помещения.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Et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продувки электрического теплообменника после отключения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ДНД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ДВД1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ДНД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ДВД1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переключения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импульса SV в режиме нагнетания давления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WarmUp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длительность режима откачки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PumpDown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Интервал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между пусками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Anticycling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Минимальный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рабочий цикл компрессора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Oil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return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1213: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5/12 для аварии по датчику LPS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5/12 для аварии по датчику HPS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изменения степени открытия байпаса пластинчатого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управления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Расписание рабочего режима (массив по дням недели, 1-пн) (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запуск: часы, запуск: минуты, останов: часы, останов: минуты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178..205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С)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D)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C)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В)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C)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D)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09: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сравнения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Tsu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F536B8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«ЗИМА» и «МЕЖСЕЗОНЬЕ»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F536B8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 «МЕЖСЕЗОНЬЕ» и «ЛЕТО»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положение заслонок для отключения вытяжного вентилятора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% открытия нар. заслонок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Процент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останова команды ХОЛОД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Процент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старта команды ХОЛОД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простоя до активации защиты от заклинивания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02EA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действий по защите от заклинивания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хода 3-ходового клапана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UC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адрес CPY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266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207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UC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настр.соед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 CPY (кол-во бит, четность, стоп биты)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267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UP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макс. производительность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268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задание электропроводности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269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1250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мкСм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/см</w:t>
            </w:r>
          </w:p>
        </w:tc>
      </w:tr>
      <w:tr w:rsidR="007402EA" w:rsidRPr="007402EA" w:rsidTr="00D2145E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порог срабатывания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предупрежд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по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электропров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559" w:type="dxa"/>
            <w:vAlign w:val="top"/>
            <w:hideMark/>
          </w:tcPr>
          <w:p w:rsidR="007402EA" w:rsidRDefault="007402EA" w:rsidP="007402EA">
            <w:proofErr w:type="spellStart"/>
            <w:proofErr w:type="gramStart"/>
            <w:r w:rsidRPr="0096623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мкСм</w:t>
            </w:r>
            <w:proofErr w:type="spellEnd"/>
            <w:proofErr w:type="gramEnd"/>
            <w:r w:rsidRPr="0096623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/см</w:t>
            </w:r>
          </w:p>
        </w:tc>
      </w:tr>
      <w:tr w:rsidR="007402EA" w:rsidRPr="007402EA" w:rsidTr="00D214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порог срабатывания тревоги по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электропров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559" w:type="dxa"/>
            <w:vAlign w:val="top"/>
            <w:hideMark/>
          </w:tcPr>
          <w:p w:rsidR="007402EA" w:rsidRDefault="007402EA" w:rsidP="007402EA">
            <w:proofErr w:type="spellStart"/>
            <w:proofErr w:type="gramStart"/>
            <w:r w:rsidRPr="0096623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мкСм</w:t>
            </w:r>
            <w:proofErr w:type="spellEnd"/>
            <w:proofErr w:type="gramEnd"/>
            <w:r w:rsidRPr="00966231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/см</w:t>
            </w:r>
          </w:p>
        </w:tc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proofErr w:type="spellStart"/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UBb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период обслуживания бака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272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4000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электропроводность по сравнению с номинальной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273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7402EA" w:rsidRPr="007402EA" w:rsidTr="007402EA">
        <w:trPr>
          <w:trHeight w:val="675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продолжительность слива для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сниж.э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проводности</w:t>
            </w:r>
            <w:proofErr w:type="spellEnd"/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274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время задержки выключения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UB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контроль пенообразования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276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proofErr w:type="spellStart"/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UBf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время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задрежки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слива при бездействии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277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199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день</w:t>
            </w:r>
            <w:proofErr w:type="gramEnd"/>
          </w:p>
        </w:tc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proofErr w:type="spellStart"/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UBe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время между циклами слива (для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период.слива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278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7402EA" w:rsidRPr="007402EA" w:rsidTr="007402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Rsv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Резерв</w:t>
            </w:r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 </w:t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макс.время</w:t>
            </w:r>
            <w:proofErr w:type="spell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работы установки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279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  <w:bookmarkStart w:id="4" w:name="_GoBack"/>
        <w:bookmarkEnd w:id="4"/>
      </w:tr>
      <w:tr w:rsidR="007402EA" w:rsidRPr="007402EA" w:rsidTr="007402EA">
        <w:trPr>
          <w:trHeight w:val="450"/>
        </w:trPr>
        <w:tc>
          <w:tcPr>
            <w:tcW w:w="5564" w:type="dxa"/>
            <w:hideMark/>
          </w:tcPr>
          <w:p w:rsidR="007402EA" w:rsidRPr="007402EA" w:rsidRDefault="007402EA" w:rsidP="007402EA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UC</w:t>
            </w:r>
            <w:proofErr w:type="gram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8:</w:t>
            </w: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Пароувлажнитель</w:t>
            </w:r>
            <w:proofErr w:type="spellEnd"/>
            <w:proofErr w:type="gramEnd"/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 макс время ожидания данных от контроллера</w:t>
            </w:r>
          </w:p>
        </w:tc>
        <w:tc>
          <w:tcPr>
            <w:tcW w:w="836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50,0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3000,0</w:t>
            </w:r>
          </w:p>
        </w:tc>
        <w:tc>
          <w:tcPr>
            <w:tcW w:w="559" w:type="dxa"/>
            <w:hideMark/>
          </w:tcPr>
          <w:p w:rsidR="007402EA" w:rsidRPr="007402EA" w:rsidRDefault="007402EA" w:rsidP="007402EA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7402EA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</w:tbl>
    <w:p w:rsidR="00416CB5" w:rsidRDefault="00416CB5" w:rsidP="00BE52C1">
      <w:pPr>
        <w:ind w:firstLine="708"/>
        <w:jc w:val="both"/>
        <w:rPr>
          <w:rFonts w:ascii="Arial" w:hAnsi="Arial" w:cs="Arial"/>
          <w:sz w:val="14"/>
        </w:rPr>
      </w:pPr>
    </w:p>
    <w:sectPr w:rsidR="00416C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99" w:rsidRDefault="00F90199" w:rsidP="00166A9E">
      <w:pPr>
        <w:spacing w:after="0" w:line="240" w:lineRule="auto"/>
      </w:pPr>
      <w:r>
        <w:separator/>
      </w:r>
    </w:p>
  </w:endnote>
  <w:endnote w:type="continuationSeparator" w:id="0">
    <w:p w:rsidR="00F90199" w:rsidRDefault="00F90199" w:rsidP="001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6B8" w:rsidRDefault="00F536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99" w:rsidRDefault="00F90199" w:rsidP="00166A9E">
      <w:pPr>
        <w:spacing w:after="0" w:line="240" w:lineRule="auto"/>
      </w:pPr>
      <w:r>
        <w:separator/>
      </w:r>
    </w:p>
  </w:footnote>
  <w:footnote w:type="continuationSeparator" w:id="0">
    <w:p w:rsidR="00F90199" w:rsidRDefault="00F90199" w:rsidP="0016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61"/>
    <w:rsid w:val="0005176E"/>
    <w:rsid w:val="000631B8"/>
    <w:rsid w:val="000C41F8"/>
    <w:rsid w:val="000D2738"/>
    <w:rsid w:val="00166A9E"/>
    <w:rsid w:val="00170DCD"/>
    <w:rsid w:val="001855A0"/>
    <w:rsid w:val="00213929"/>
    <w:rsid w:val="00264939"/>
    <w:rsid w:val="002C164E"/>
    <w:rsid w:val="002C233A"/>
    <w:rsid w:val="002E7DBD"/>
    <w:rsid w:val="00317758"/>
    <w:rsid w:val="00347FD5"/>
    <w:rsid w:val="00351089"/>
    <w:rsid w:val="0039727E"/>
    <w:rsid w:val="00416CB5"/>
    <w:rsid w:val="004678D4"/>
    <w:rsid w:val="0051518B"/>
    <w:rsid w:val="005D3DCA"/>
    <w:rsid w:val="00732CDA"/>
    <w:rsid w:val="007402EA"/>
    <w:rsid w:val="00767723"/>
    <w:rsid w:val="007B0887"/>
    <w:rsid w:val="007C4997"/>
    <w:rsid w:val="008416F1"/>
    <w:rsid w:val="00880D38"/>
    <w:rsid w:val="00884766"/>
    <w:rsid w:val="008A20F6"/>
    <w:rsid w:val="008E74F0"/>
    <w:rsid w:val="00937195"/>
    <w:rsid w:val="00A47CFD"/>
    <w:rsid w:val="00AD261F"/>
    <w:rsid w:val="00AD3C5A"/>
    <w:rsid w:val="00AF7866"/>
    <w:rsid w:val="00B3005C"/>
    <w:rsid w:val="00B317A4"/>
    <w:rsid w:val="00BB330E"/>
    <w:rsid w:val="00BE52C1"/>
    <w:rsid w:val="00BF69EE"/>
    <w:rsid w:val="00C01E61"/>
    <w:rsid w:val="00C15695"/>
    <w:rsid w:val="00C220F4"/>
    <w:rsid w:val="00C24D08"/>
    <w:rsid w:val="00C9579E"/>
    <w:rsid w:val="00D02DA2"/>
    <w:rsid w:val="00D63ACD"/>
    <w:rsid w:val="00D77E79"/>
    <w:rsid w:val="00D92451"/>
    <w:rsid w:val="00DA00C5"/>
    <w:rsid w:val="00DA2DDF"/>
    <w:rsid w:val="00E52A2E"/>
    <w:rsid w:val="00EA69EA"/>
    <w:rsid w:val="00ED03D9"/>
    <w:rsid w:val="00F00AD3"/>
    <w:rsid w:val="00F536B8"/>
    <w:rsid w:val="00F6050F"/>
    <w:rsid w:val="00F90199"/>
    <w:rsid w:val="00FB5EE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18A6-9DDE-4403-913C-A1378ED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17758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sz w:val="14"/>
      </w:rPr>
      <w:tblPr/>
      <w:tcPr>
        <w:tcBorders>
          <w:insideH w:val="nil"/>
          <w:insideV w:val="nil"/>
        </w:tcBorders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a3">
    <w:name w:val="Hyperlink"/>
    <w:basedOn w:val="a0"/>
    <w:uiPriority w:val="99"/>
    <w:semiHidden/>
    <w:unhideWhenUsed/>
    <w:rsid w:val="00B300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3005C"/>
    <w:rPr>
      <w:color w:val="954F72"/>
      <w:u w:val="single"/>
    </w:rPr>
  </w:style>
  <w:style w:type="paragraph" w:customStyle="1" w:styleId="xl65">
    <w:name w:val="xl65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005C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005C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3005C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B3005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styleId="a5">
    <w:name w:val="header"/>
    <w:basedOn w:val="a"/>
    <w:link w:val="a6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A9E"/>
  </w:style>
  <w:style w:type="paragraph" w:styleId="a7">
    <w:name w:val="footer"/>
    <w:basedOn w:val="a"/>
    <w:link w:val="a8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A9E"/>
  </w:style>
  <w:style w:type="table" w:styleId="a9">
    <w:name w:val="Table Grid"/>
    <w:basedOn w:val="a1"/>
    <w:uiPriority w:val="39"/>
    <w:rsid w:val="000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BAA61-F8C6-485C-9C32-900CE294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3</cp:revision>
  <dcterms:created xsi:type="dcterms:W3CDTF">2020-11-20T10:03:00Z</dcterms:created>
  <dcterms:modified xsi:type="dcterms:W3CDTF">2020-11-20T10:44:00Z</dcterms:modified>
</cp:coreProperties>
</file>