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691FB" w14:textId="77777777" w:rsidR="00CD4701" w:rsidRPr="00CD4701" w:rsidRDefault="00CD4701" w:rsidP="00CD4701">
      <w:pPr>
        <w:spacing w:line="360" w:lineRule="auto"/>
        <w:rPr>
          <w:b/>
          <w:bCs/>
          <w:sz w:val="36"/>
          <w:szCs w:val="36"/>
        </w:rPr>
      </w:pPr>
      <w:r w:rsidRPr="00CD4701">
        <w:rPr>
          <w:rFonts w:cs="Calibri" w:hint="eastAsia"/>
          <w:b/>
          <w:bCs/>
          <w:sz w:val="36"/>
          <w:szCs w:val="36"/>
        </w:rPr>
        <w:t>summary</w:t>
      </w:r>
    </w:p>
    <w:p w14:paraId="6E495135" w14:textId="77777777" w:rsidR="00CD4701" w:rsidRDefault="00CD4701" w:rsidP="00CD4701">
      <w:pPr>
        <w:spacing w:line="360" w:lineRule="auto"/>
        <w:rPr>
          <w:sz w:val="24"/>
          <w:szCs w:val="24"/>
        </w:rPr>
      </w:pPr>
    </w:p>
    <w:p w14:paraId="0EFB036F" w14:textId="7FE42416" w:rsidR="00CD4701" w:rsidRPr="00CD4701" w:rsidRDefault="00CD4701" w:rsidP="00CD4701">
      <w:pPr>
        <w:spacing w:line="360" w:lineRule="auto"/>
        <w:rPr>
          <w:rFonts w:hint="eastAsia"/>
          <w:sz w:val="24"/>
          <w:szCs w:val="24"/>
        </w:rPr>
      </w:pPr>
      <w:r w:rsidRPr="00CD4701">
        <w:rPr>
          <w:sz w:val="24"/>
          <w:szCs w:val="24"/>
        </w:rPr>
        <w:t>The evolution of card fraud has changed a lot during the period f</w:t>
      </w:r>
      <w:r w:rsidRPr="00CD4701">
        <w:rPr>
          <w:rFonts w:cs="Calibri" w:hint="eastAsia"/>
          <w:sz w:val="24"/>
          <w:szCs w:val="24"/>
        </w:rPr>
        <w:t>ro</w:t>
      </w:r>
      <w:r w:rsidRPr="00CD4701">
        <w:rPr>
          <w:sz w:val="24"/>
          <w:szCs w:val="24"/>
        </w:rPr>
        <w:t>m 2008 to 2019.</w:t>
      </w:r>
      <w:r w:rsidRPr="00CD4701">
        <w:rPr>
          <w:rFonts w:hint="eastAsia"/>
          <w:sz w:val="24"/>
          <w:szCs w:val="24"/>
        </w:rPr>
        <w:t xml:space="preserve"> </w:t>
      </w:r>
      <w:r w:rsidRPr="00CD4701">
        <w:rPr>
          <w:rFonts w:cs="Calibri" w:hint="eastAsia"/>
          <w:sz w:val="24"/>
          <w:szCs w:val="24"/>
        </w:rPr>
        <w:t>Overall, fraudulent transactions involving physical cards and fraudulent transactions conducted remotely are</w:t>
      </w:r>
      <w:r w:rsidRPr="00CD4701">
        <w:rPr>
          <w:sz w:val="24"/>
          <w:szCs w:val="24"/>
        </w:rPr>
        <w:t xml:space="preserve"> the main card fraud categories, and compromised application fraud and account takeover</w:t>
      </w:r>
      <w:r w:rsidRPr="00CD4701">
        <w:rPr>
          <w:rFonts w:hint="eastAsia"/>
          <w:sz w:val="24"/>
          <w:szCs w:val="24"/>
        </w:rPr>
        <w:t xml:space="preserve"> </w:t>
      </w:r>
      <w:r w:rsidRPr="00CD4701">
        <w:rPr>
          <w:rFonts w:cs="Calibri" w:hint="eastAsia"/>
          <w:sz w:val="24"/>
          <w:szCs w:val="24"/>
        </w:rPr>
        <w:t>are</w:t>
      </w:r>
      <w:r w:rsidRPr="00CD4701">
        <w:rPr>
          <w:sz w:val="24"/>
          <w:szCs w:val="24"/>
        </w:rPr>
        <w:t xml:space="preserve"> the secondary card fraud categories.</w:t>
      </w:r>
      <w:r w:rsidRPr="00CD4701">
        <w:rPr>
          <w:rFonts w:hint="eastAsia"/>
          <w:sz w:val="24"/>
          <w:szCs w:val="24"/>
        </w:rPr>
        <w:t xml:space="preserve"> </w:t>
      </w:r>
      <w:r w:rsidRPr="00CD4701">
        <w:rPr>
          <w:sz w:val="24"/>
          <w:szCs w:val="24"/>
        </w:rPr>
        <w:t>C</w:t>
      </w:r>
      <w:r w:rsidRPr="00CD4701">
        <w:rPr>
          <w:rFonts w:cs="Calibri" w:hint="eastAsia"/>
          <w:sz w:val="24"/>
          <w:szCs w:val="24"/>
        </w:rPr>
        <w:t>ross</w:t>
      </w:r>
      <w:r w:rsidRPr="00CD4701">
        <w:rPr>
          <w:sz w:val="24"/>
          <w:szCs w:val="24"/>
        </w:rPr>
        <w:t>-border transactions within SEPA account for the largest proportion of fraudulent transactions, followed by domestic fraud and cross-border fraud outside SEPA. M</w:t>
      </w:r>
      <w:r w:rsidRPr="00CD4701">
        <w:rPr>
          <w:rFonts w:cs="Calibri" w:hint="eastAsia"/>
          <w:sz w:val="24"/>
          <w:szCs w:val="24"/>
        </w:rPr>
        <w:t>ore</w:t>
      </w:r>
      <w:r w:rsidRPr="00CD4701">
        <w:rPr>
          <w:sz w:val="24"/>
          <w:szCs w:val="24"/>
        </w:rPr>
        <w:t>over, the countries with high percent card market like France and the UK have higher fraud rate, those countries with low percent like Romania and Poland have low fraud rate.</w:t>
      </w:r>
    </w:p>
    <w:p w14:paraId="4EBF641C" w14:textId="77777777" w:rsidR="00CD4701" w:rsidRPr="00CD4701" w:rsidRDefault="00CD4701" w:rsidP="00CD4701">
      <w:pPr>
        <w:spacing w:line="360" w:lineRule="auto"/>
        <w:rPr>
          <w:sz w:val="24"/>
          <w:szCs w:val="24"/>
        </w:rPr>
      </w:pPr>
      <w:r w:rsidRPr="00CD4701">
        <w:rPr>
          <w:sz w:val="24"/>
          <w:szCs w:val="24"/>
        </w:rPr>
        <w:t xml:space="preserve"> </w:t>
      </w:r>
    </w:p>
    <w:p w14:paraId="1F705526" w14:textId="630BD1A8" w:rsidR="00CD4701" w:rsidRPr="00CD4701" w:rsidRDefault="00CD4701" w:rsidP="00CD4701">
      <w:pPr>
        <w:spacing w:line="360" w:lineRule="auto"/>
        <w:rPr>
          <w:sz w:val="24"/>
          <w:szCs w:val="24"/>
        </w:rPr>
      </w:pPr>
      <w:r w:rsidRPr="00CD4701">
        <w:rPr>
          <w:sz w:val="24"/>
          <w:szCs w:val="24"/>
        </w:rPr>
        <w:t>From 2008 to 2019,</w:t>
      </w:r>
      <w:r w:rsidRPr="00CD4701">
        <w:rPr>
          <w:rFonts w:hint="eastAsia"/>
          <w:sz w:val="24"/>
          <w:szCs w:val="24"/>
        </w:rPr>
        <w:t xml:space="preserve"> </w:t>
      </w:r>
      <w:r w:rsidRPr="00CD4701">
        <w:rPr>
          <w:rFonts w:cs="Calibri" w:hint="eastAsia"/>
          <w:sz w:val="24"/>
          <w:szCs w:val="24"/>
        </w:rPr>
        <w:t xml:space="preserve">the overall absolute value of transactions is increasing, and the absolute value of fraud is also increasing, but the relative value of fraud is decreasing. This is because new technologies and </w:t>
      </w:r>
      <w:r w:rsidRPr="00CD4701">
        <w:rPr>
          <w:sz w:val="24"/>
          <w:szCs w:val="24"/>
        </w:rPr>
        <w:t xml:space="preserve">laws </w:t>
      </w:r>
      <w:r w:rsidRPr="00CD4701">
        <w:rPr>
          <w:rFonts w:cs="Calibri" w:hint="eastAsia"/>
          <w:sz w:val="24"/>
          <w:szCs w:val="24"/>
        </w:rPr>
        <w:t>have been added to prevent fraud.</w:t>
      </w:r>
      <w:r w:rsidRPr="00CD4701">
        <w:rPr>
          <w:sz w:val="24"/>
          <w:szCs w:val="24"/>
        </w:rPr>
        <w:t xml:space="preserve"> Among them, CNP fraud and card fraud at POS terminals increased significantly. S</w:t>
      </w:r>
      <w:r w:rsidRPr="00CD4701">
        <w:rPr>
          <w:rFonts w:cs="Calibri" w:hint="eastAsia"/>
          <w:sz w:val="24"/>
          <w:szCs w:val="24"/>
        </w:rPr>
        <w:t>o</w:t>
      </w:r>
      <w:r w:rsidRPr="00CD4701">
        <w:rPr>
          <w:sz w:val="24"/>
          <w:szCs w:val="24"/>
        </w:rPr>
        <w:t xml:space="preserve">me </w:t>
      </w:r>
      <w:r w:rsidRPr="00CD4701">
        <w:rPr>
          <w:sz w:val="24"/>
          <w:szCs w:val="24"/>
        </w:rPr>
        <w:t>technical</w:t>
      </w:r>
      <w:r w:rsidRPr="00CD4701">
        <w:rPr>
          <w:sz w:val="24"/>
          <w:szCs w:val="24"/>
        </w:rPr>
        <w:t xml:space="preserve"> and regulations have effects to card fraud, including increased adoption of chip and PIN transactions at ATMs outside of Europe, card tokenization, amended the Payment Services Directive and more </w:t>
      </w:r>
      <w:r w:rsidRPr="00CD4701">
        <w:rPr>
          <w:rFonts w:cs="Calibri" w:hint="eastAsia"/>
          <w:sz w:val="24"/>
          <w:szCs w:val="24"/>
        </w:rPr>
        <w:t>com</w:t>
      </w:r>
      <w:r w:rsidRPr="00CD4701">
        <w:rPr>
          <w:sz w:val="24"/>
          <w:szCs w:val="24"/>
        </w:rPr>
        <w:t xml:space="preserve">prehensive supervision. </w:t>
      </w:r>
    </w:p>
    <w:p w14:paraId="3B755C8E" w14:textId="77777777" w:rsidR="00CD4701" w:rsidRPr="00CD4701" w:rsidRDefault="00CD4701" w:rsidP="00CD4701">
      <w:pPr>
        <w:spacing w:line="360" w:lineRule="auto"/>
        <w:rPr>
          <w:sz w:val="24"/>
          <w:szCs w:val="24"/>
        </w:rPr>
      </w:pPr>
    </w:p>
    <w:p w14:paraId="77A5C0CC" w14:textId="26401600" w:rsidR="00CD4701" w:rsidRPr="00CD4701" w:rsidRDefault="00CD4701" w:rsidP="00CD4701">
      <w:pPr>
        <w:spacing w:line="360" w:lineRule="auto"/>
        <w:rPr>
          <w:sz w:val="24"/>
          <w:szCs w:val="24"/>
        </w:rPr>
      </w:pPr>
      <w:r w:rsidRPr="00CD4701">
        <w:rPr>
          <w:sz w:val="24"/>
          <w:szCs w:val="24"/>
        </w:rPr>
        <w:t xml:space="preserve">The transaction landscape at the same period has changed a lot. The overall number of card transactions and the CNP payments related to online transactions are increasing, but the overall growth of card fraud is lower than the growth of normal card </w:t>
      </w:r>
      <w:r w:rsidRPr="00CD4701">
        <w:rPr>
          <w:sz w:val="24"/>
          <w:szCs w:val="24"/>
        </w:rPr>
        <w:t>payments and</w:t>
      </w:r>
      <w:r w:rsidRPr="00CD4701">
        <w:rPr>
          <w:sz w:val="24"/>
          <w:szCs w:val="24"/>
        </w:rPr>
        <w:t xml:space="preserve"> has even stagnated in recent years. T</w:t>
      </w:r>
      <w:r w:rsidRPr="00CD4701">
        <w:rPr>
          <w:rFonts w:cs="Calibri" w:hint="eastAsia"/>
          <w:sz w:val="24"/>
          <w:szCs w:val="24"/>
        </w:rPr>
        <w:t>he</w:t>
      </w:r>
      <w:r w:rsidRPr="00CD4701">
        <w:rPr>
          <w:sz w:val="24"/>
          <w:szCs w:val="24"/>
        </w:rPr>
        <w:t xml:space="preserve"> cross-border </w:t>
      </w:r>
      <w:r w:rsidRPr="00CD4701">
        <w:rPr>
          <w:sz w:val="24"/>
          <w:szCs w:val="24"/>
        </w:rPr>
        <w:t>transactions</w:t>
      </w:r>
      <w:r w:rsidRPr="00CD4701">
        <w:rPr>
          <w:sz w:val="24"/>
          <w:szCs w:val="24"/>
        </w:rPr>
        <w:t xml:space="preserve"> become </w:t>
      </w:r>
      <w:r w:rsidRPr="00CD4701">
        <w:rPr>
          <w:sz w:val="24"/>
          <w:szCs w:val="24"/>
        </w:rPr>
        <w:t>more</w:t>
      </w:r>
      <w:r w:rsidRPr="00CD4701">
        <w:rPr>
          <w:sz w:val="24"/>
          <w:szCs w:val="24"/>
        </w:rPr>
        <w:t xml:space="preserve"> popular and the cross-border transactions within the SEPK framework</w:t>
      </w:r>
      <w:r w:rsidRPr="00CD4701">
        <w:rPr>
          <w:rFonts w:hint="eastAsia"/>
          <w:sz w:val="24"/>
          <w:szCs w:val="24"/>
        </w:rPr>
        <w:t xml:space="preserve"> </w:t>
      </w:r>
      <w:r w:rsidRPr="00CD4701">
        <w:rPr>
          <w:rFonts w:cs="Calibri" w:hint="eastAsia"/>
          <w:sz w:val="24"/>
          <w:szCs w:val="24"/>
        </w:rPr>
        <w:t>have</w:t>
      </w:r>
      <w:r w:rsidRPr="00CD4701">
        <w:rPr>
          <w:sz w:val="24"/>
          <w:szCs w:val="24"/>
        </w:rPr>
        <w:t xml:space="preserve"> high fraud risk. At the beginning, </w:t>
      </w:r>
      <w:r w:rsidRPr="00CD4701">
        <w:rPr>
          <w:rFonts w:cs="Calibri" w:hint="eastAsia"/>
          <w:sz w:val="24"/>
          <w:szCs w:val="24"/>
        </w:rPr>
        <w:t>counterfeit fraud was the main form of card fraud, but now it has dropped significantly and is more common in cross-border transactions.</w:t>
      </w:r>
    </w:p>
    <w:p w14:paraId="684A9F2F" w14:textId="77777777" w:rsidR="00CD4701" w:rsidRPr="00CD4701" w:rsidRDefault="00CD4701" w:rsidP="00CD4701">
      <w:pPr>
        <w:spacing w:line="360" w:lineRule="auto"/>
        <w:rPr>
          <w:sz w:val="24"/>
          <w:szCs w:val="24"/>
        </w:rPr>
      </w:pPr>
    </w:p>
    <w:p w14:paraId="57D38DDE" w14:textId="15A0B2B1" w:rsidR="00CD4701" w:rsidRDefault="00CD4701" w:rsidP="00CD4701">
      <w:pPr>
        <w:spacing w:line="360" w:lineRule="auto"/>
        <w:rPr>
          <w:sz w:val="24"/>
          <w:szCs w:val="24"/>
        </w:rPr>
      </w:pPr>
      <w:r w:rsidRPr="00CD4701">
        <w:rPr>
          <w:sz w:val="24"/>
          <w:szCs w:val="24"/>
        </w:rPr>
        <w:t>The development of internet and e</w:t>
      </w:r>
      <w:r w:rsidRPr="00CD4701">
        <w:rPr>
          <w:rFonts w:hint="eastAsia"/>
          <w:sz w:val="24"/>
          <w:szCs w:val="24"/>
        </w:rPr>
        <w:t>-</w:t>
      </w:r>
      <w:r w:rsidRPr="00CD4701">
        <w:rPr>
          <w:sz w:val="24"/>
          <w:szCs w:val="24"/>
        </w:rPr>
        <w:t xml:space="preserve">commence provides </w:t>
      </w:r>
      <w:r w:rsidRPr="00CD4701">
        <w:rPr>
          <w:rFonts w:cs="Calibri" w:hint="eastAsia"/>
          <w:sz w:val="24"/>
          <w:szCs w:val="24"/>
        </w:rPr>
        <w:t>convenience</w:t>
      </w:r>
      <w:r w:rsidRPr="00CD4701">
        <w:rPr>
          <w:sz w:val="24"/>
          <w:szCs w:val="24"/>
        </w:rPr>
        <w:t xml:space="preserve"> for credit card </w:t>
      </w:r>
      <w:r w:rsidRPr="00CD4701">
        <w:rPr>
          <w:sz w:val="24"/>
          <w:szCs w:val="24"/>
        </w:rPr>
        <w:lastRenderedPageBreak/>
        <w:t>fraud in cross-border transactions.</w:t>
      </w:r>
    </w:p>
    <w:p w14:paraId="1486D84E" w14:textId="77777777" w:rsidR="00CD4701" w:rsidRPr="00CD4701" w:rsidRDefault="00CD4701" w:rsidP="00CD4701">
      <w:pPr>
        <w:spacing w:line="360" w:lineRule="auto"/>
        <w:rPr>
          <w:rFonts w:hint="eastAsia"/>
          <w:sz w:val="24"/>
          <w:szCs w:val="24"/>
        </w:rPr>
      </w:pPr>
    </w:p>
    <w:p w14:paraId="69F65264" w14:textId="6C495E3B" w:rsidR="00CD4701" w:rsidRPr="00CD4701" w:rsidRDefault="00CD4701" w:rsidP="00CD4701">
      <w:pPr>
        <w:spacing w:line="360" w:lineRule="auto"/>
        <w:rPr>
          <w:sz w:val="24"/>
          <w:szCs w:val="24"/>
        </w:rPr>
      </w:pPr>
      <w:r w:rsidRPr="00CD4701">
        <w:rPr>
          <w:sz w:val="24"/>
          <w:szCs w:val="24"/>
        </w:rPr>
        <w:t xml:space="preserve">To prevent card fraud, avoiding the data breach is a good solution. Because data breach </w:t>
      </w:r>
      <w:r w:rsidRPr="00CD4701">
        <w:rPr>
          <w:sz w:val="24"/>
          <w:szCs w:val="24"/>
        </w:rPr>
        <w:t>will</w:t>
      </w:r>
      <w:r w:rsidRPr="00CD4701">
        <w:rPr>
          <w:sz w:val="24"/>
          <w:szCs w:val="24"/>
        </w:rPr>
        <w:t xml:space="preserve"> cause compromised application fraud and account takeover, which </w:t>
      </w:r>
      <w:r w:rsidRPr="00CD4701">
        <w:rPr>
          <w:rFonts w:cs="Calibri" w:hint="eastAsia"/>
          <w:sz w:val="24"/>
          <w:szCs w:val="24"/>
        </w:rPr>
        <w:t>enables</w:t>
      </w:r>
      <w:r w:rsidRPr="00CD4701">
        <w:rPr>
          <w:sz w:val="24"/>
          <w:szCs w:val="24"/>
        </w:rPr>
        <w:t xml:space="preserve"> fraudsters to apply for credit cards and spend money in other people’s name and </w:t>
      </w:r>
      <w:r w:rsidRPr="00CD4701">
        <w:rPr>
          <w:rFonts w:cs="Calibri" w:hint="eastAsia"/>
          <w:sz w:val="24"/>
          <w:szCs w:val="24"/>
        </w:rPr>
        <w:t>im</w:t>
      </w:r>
      <w:r w:rsidRPr="00CD4701">
        <w:rPr>
          <w:sz w:val="24"/>
          <w:szCs w:val="24"/>
        </w:rPr>
        <w:t>personating the real cardholder. An</w:t>
      </w:r>
      <w:r w:rsidRPr="00CD4701">
        <w:rPr>
          <w:rFonts w:cs="Calibri" w:hint="eastAsia"/>
          <w:sz w:val="24"/>
          <w:szCs w:val="24"/>
        </w:rPr>
        <w:t>other</w:t>
      </w:r>
      <w:r w:rsidRPr="00CD4701">
        <w:rPr>
          <w:sz w:val="24"/>
          <w:szCs w:val="24"/>
        </w:rPr>
        <w:t xml:space="preserve"> solution is payment card </w:t>
      </w:r>
      <w:proofErr w:type="spellStart"/>
      <w:r w:rsidRPr="00CD4701">
        <w:rPr>
          <w:sz w:val="24"/>
          <w:szCs w:val="24"/>
        </w:rPr>
        <w:t>tokenisation</w:t>
      </w:r>
      <w:proofErr w:type="spellEnd"/>
      <w:r w:rsidRPr="00CD4701">
        <w:rPr>
          <w:sz w:val="24"/>
          <w:szCs w:val="24"/>
        </w:rPr>
        <w:t>.</w:t>
      </w:r>
      <w:r w:rsidRPr="00CD4701">
        <w:rPr>
          <w:rFonts w:hint="eastAsia"/>
          <w:sz w:val="24"/>
          <w:szCs w:val="24"/>
        </w:rPr>
        <w:t xml:space="preserve"> </w:t>
      </w:r>
      <w:r w:rsidRPr="00CD4701">
        <w:rPr>
          <w:rFonts w:cs="Calibri" w:hint="eastAsia"/>
          <w:sz w:val="24"/>
          <w:szCs w:val="24"/>
        </w:rPr>
        <w:t>It can serve as a payment credential. Compared to traditional primary account numbers, compromised tokens are less sensitive, less vulnerable to exploitation, and easier to replace. This makes them less attractive to fraudsters and helps reduce the risks and costs associated with credit card data breaches. I've found that adding electronic, encrypted security credentials can help reduce fraud.</w:t>
      </w:r>
    </w:p>
    <w:p w14:paraId="006EB548" w14:textId="77777777" w:rsidR="00CD4701" w:rsidRPr="00CD4701" w:rsidRDefault="00CD4701" w:rsidP="00CD4701">
      <w:pPr>
        <w:spacing w:line="360" w:lineRule="auto"/>
        <w:rPr>
          <w:rFonts w:hint="eastAsia"/>
          <w:sz w:val="24"/>
          <w:szCs w:val="24"/>
        </w:rPr>
      </w:pPr>
    </w:p>
    <w:sectPr w:rsidR="00CD4701" w:rsidRPr="00CD4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1"/>
    <w:rsid w:val="00940436"/>
    <w:rsid w:val="00CD4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189A8C"/>
  <w15:chartTrackingRefBased/>
  <w15:docId w15:val="{FBD1B880-4242-D546-B8F1-7486C4D1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701"/>
    <w:pPr>
      <w:widowControl w:val="0"/>
      <w:spacing w:after="0" w:line="240" w:lineRule="auto"/>
      <w:jc w:val="both"/>
    </w:pPr>
    <w:rPr>
      <w:rFonts w:ascii="Calibri" w:eastAsia="宋体" w:hAnsi="Calibri" w:cs="Times New Roman"/>
      <w:sz w:val="21"/>
      <w:szCs w:val="21"/>
      <w14:ligatures w14:val="none"/>
    </w:rPr>
  </w:style>
  <w:style w:type="paragraph" w:styleId="1">
    <w:name w:val="heading 1"/>
    <w:basedOn w:val="a"/>
    <w:next w:val="a"/>
    <w:link w:val="10"/>
    <w:uiPriority w:val="9"/>
    <w:qFormat/>
    <w:rsid w:val="00CD4701"/>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CD4701"/>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CD4701"/>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CD4701"/>
    <w:pPr>
      <w:keepNext/>
      <w:keepLines/>
      <w:spacing w:before="80" w:after="40" w:line="278" w:lineRule="auto"/>
      <w:jc w:val="left"/>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CD4701"/>
    <w:pPr>
      <w:keepNext/>
      <w:keepLines/>
      <w:spacing w:before="80" w:after="40" w:line="278" w:lineRule="auto"/>
      <w:jc w:val="left"/>
      <w:outlineLvl w:val="4"/>
    </w:pPr>
    <w:rPr>
      <w:rFonts w:asciiTheme="minorHAnsi" w:eastAsiaTheme="minorEastAsia" w:hAnsiTheme="minorHAnsi" w:cstheme="majorBidi"/>
      <w:color w:val="0F4761" w:themeColor="accent1" w:themeShade="BF"/>
      <w:sz w:val="24"/>
      <w:szCs w:val="24"/>
      <w14:ligatures w14:val="standardContextual"/>
    </w:rPr>
  </w:style>
  <w:style w:type="paragraph" w:styleId="6">
    <w:name w:val="heading 6"/>
    <w:basedOn w:val="a"/>
    <w:next w:val="a"/>
    <w:link w:val="60"/>
    <w:uiPriority w:val="9"/>
    <w:semiHidden/>
    <w:unhideWhenUsed/>
    <w:qFormat/>
    <w:rsid w:val="00CD4701"/>
    <w:pPr>
      <w:keepNext/>
      <w:keepLines/>
      <w:spacing w:before="40" w:line="278" w:lineRule="auto"/>
      <w:jc w:val="left"/>
      <w:outlineLvl w:val="5"/>
    </w:pPr>
    <w:rPr>
      <w:rFonts w:asciiTheme="minorHAnsi" w:eastAsiaTheme="minorEastAsia" w:hAnsiTheme="minorHAnsi" w:cstheme="majorBidi"/>
      <w:b/>
      <w:bCs/>
      <w:color w:val="0F4761" w:themeColor="accent1" w:themeShade="BF"/>
      <w:sz w:val="22"/>
      <w:szCs w:val="24"/>
      <w14:ligatures w14:val="standardContextual"/>
    </w:rPr>
  </w:style>
  <w:style w:type="paragraph" w:styleId="7">
    <w:name w:val="heading 7"/>
    <w:basedOn w:val="a"/>
    <w:next w:val="a"/>
    <w:link w:val="70"/>
    <w:uiPriority w:val="9"/>
    <w:semiHidden/>
    <w:unhideWhenUsed/>
    <w:qFormat/>
    <w:rsid w:val="00CD4701"/>
    <w:pPr>
      <w:keepNext/>
      <w:keepLines/>
      <w:spacing w:before="40" w:line="278" w:lineRule="auto"/>
      <w:jc w:val="left"/>
      <w:outlineLvl w:val="6"/>
    </w:pPr>
    <w:rPr>
      <w:rFonts w:asciiTheme="minorHAnsi" w:eastAsiaTheme="minorEastAsia" w:hAnsiTheme="minorHAnsi" w:cstheme="majorBidi"/>
      <w:b/>
      <w:bCs/>
      <w:color w:val="595959" w:themeColor="text1" w:themeTint="A6"/>
      <w:sz w:val="22"/>
      <w:szCs w:val="24"/>
      <w14:ligatures w14:val="standardContextual"/>
    </w:rPr>
  </w:style>
  <w:style w:type="paragraph" w:styleId="8">
    <w:name w:val="heading 8"/>
    <w:basedOn w:val="a"/>
    <w:next w:val="a"/>
    <w:link w:val="80"/>
    <w:uiPriority w:val="9"/>
    <w:semiHidden/>
    <w:unhideWhenUsed/>
    <w:qFormat/>
    <w:rsid w:val="00CD4701"/>
    <w:pPr>
      <w:keepNext/>
      <w:keepLines/>
      <w:spacing w:line="278" w:lineRule="auto"/>
      <w:jc w:val="left"/>
      <w:outlineLvl w:val="7"/>
    </w:pPr>
    <w:rPr>
      <w:rFonts w:asciiTheme="minorHAnsi" w:eastAsiaTheme="minorEastAsia" w:hAnsiTheme="minorHAnsi" w:cstheme="majorBidi"/>
      <w:color w:val="595959" w:themeColor="text1" w:themeTint="A6"/>
      <w:sz w:val="22"/>
      <w:szCs w:val="24"/>
      <w14:ligatures w14:val="standardContextual"/>
    </w:rPr>
  </w:style>
  <w:style w:type="paragraph" w:styleId="9">
    <w:name w:val="heading 9"/>
    <w:basedOn w:val="a"/>
    <w:next w:val="a"/>
    <w:link w:val="90"/>
    <w:uiPriority w:val="9"/>
    <w:semiHidden/>
    <w:unhideWhenUsed/>
    <w:qFormat/>
    <w:rsid w:val="00CD4701"/>
    <w:pPr>
      <w:keepNext/>
      <w:keepLines/>
      <w:spacing w:line="278" w:lineRule="auto"/>
      <w:jc w:val="left"/>
      <w:outlineLvl w:val="8"/>
    </w:pPr>
    <w:rPr>
      <w:rFonts w:asciiTheme="minorHAnsi" w:eastAsiaTheme="majorEastAsia" w:hAnsiTheme="minorHAnsi" w:cstheme="majorBidi"/>
      <w:color w:val="595959" w:themeColor="text1" w:themeTint="A6"/>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47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D47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D47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D4701"/>
    <w:rPr>
      <w:rFonts w:cstheme="majorBidi"/>
      <w:color w:val="0F4761" w:themeColor="accent1" w:themeShade="BF"/>
      <w:sz w:val="28"/>
      <w:szCs w:val="28"/>
    </w:rPr>
  </w:style>
  <w:style w:type="character" w:customStyle="1" w:styleId="50">
    <w:name w:val="标题 5 字符"/>
    <w:basedOn w:val="a0"/>
    <w:link w:val="5"/>
    <w:uiPriority w:val="9"/>
    <w:semiHidden/>
    <w:rsid w:val="00CD4701"/>
    <w:rPr>
      <w:rFonts w:cstheme="majorBidi"/>
      <w:color w:val="0F4761" w:themeColor="accent1" w:themeShade="BF"/>
      <w:sz w:val="24"/>
    </w:rPr>
  </w:style>
  <w:style w:type="character" w:customStyle="1" w:styleId="60">
    <w:name w:val="标题 6 字符"/>
    <w:basedOn w:val="a0"/>
    <w:link w:val="6"/>
    <w:uiPriority w:val="9"/>
    <w:semiHidden/>
    <w:rsid w:val="00CD4701"/>
    <w:rPr>
      <w:rFonts w:cstheme="majorBidi"/>
      <w:b/>
      <w:bCs/>
      <w:color w:val="0F4761" w:themeColor="accent1" w:themeShade="BF"/>
    </w:rPr>
  </w:style>
  <w:style w:type="character" w:customStyle="1" w:styleId="70">
    <w:name w:val="标题 7 字符"/>
    <w:basedOn w:val="a0"/>
    <w:link w:val="7"/>
    <w:uiPriority w:val="9"/>
    <w:semiHidden/>
    <w:rsid w:val="00CD4701"/>
    <w:rPr>
      <w:rFonts w:cstheme="majorBidi"/>
      <w:b/>
      <w:bCs/>
      <w:color w:val="595959" w:themeColor="text1" w:themeTint="A6"/>
    </w:rPr>
  </w:style>
  <w:style w:type="character" w:customStyle="1" w:styleId="80">
    <w:name w:val="标题 8 字符"/>
    <w:basedOn w:val="a0"/>
    <w:link w:val="8"/>
    <w:uiPriority w:val="9"/>
    <w:semiHidden/>
    <w:rsid w:val="00CD4701"/>
    <w:rPr>
      <w:rFonts w:cstheme="majorBidi"/>
      <w:color w:val="595959" w:themeColor="text1" w:themeTint="A6"/>
    </w:rPr>
  </w:style>
  <w:style w:type="character" w:customStyle="1" w:styleId="90">
    <w:name w:val="标题 9 字符"/>
    <w:basedOn w:val="a0"/>
    <w:link w:val="9"/>
    <w:uiPriority w:val="9"/>
    <w:semiHidden/>
    <w:rsid w:val="00CD4701"/>
    <w:rPr>
      <w:rFonts w:eastAsiaTheme="majorEastAsia" w:cstheme="majorBidi"/>
      <w:color w:val="595959" w:themeColor="text1" w:themeTint="A6"/>
    </w:rPr>
  </w:style>
  <w:style w:type="paragraph" w:styleId="a3">
    <w:name w:val="Title"/>
    <w:basedOn w:val="a"/>
    <w:next w:val="a"/>
    <w:link w:val="a4"/>
    <w:uiPriority w:val="10"/>
    <w:qFormat/>
    <w:rsid w:val="00CD4701"/>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CD47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4701"/>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CD47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4701"/>
    <w:pPr>
      <w:spacing w:before="160" w:after="160" w:line="278" w:lineRule="auto"/>
      <w:jc w:val="center"/>
    </w:pPr>
    <w:rPr>
      <w:rFonts w:asciiTheme="minorHAnsi" w:eastAsiaTheme="minorEastAsia" w:hAnsiTheme="minorHAnsi" w:cstheme="minorBidi"/>
      <w:i/>
      <w:iCs/>
      <w:color w:val="404040" w:themeColor="text1" w:themeTint="BF"/>
      <w:sz w:val="22"/>
      <w:szCs w:val="24"/>
      <w14:ligatures w14:val="standardContextual"/>
    </w:rPr>
  </w:style>
  <w:style w:type="character" w:customStyle="1" w:styleId="a8">
    <w:name w:val="引用 字符"/>
    <w:basedOn w:val="a0"/>
    <w:link w:val="a7"/>
    <w:uiPriority w:val="29"/>
    <w:rsid w:val="00CD4701"/>
    <w:rPr>
      <w:i/>
      <w:iCs/>
      <w:color w:val="404040" w:themeColor="text1" w:themeTint="BF"/>
    </w:rPr>
  </w:style>
  <w:style w:type="paragraph" w:styleId="a9">
    <w:name w:val="List Paragraph"/>
    <w:basedOn w:val="a"/>
    <w:uiPriority w:val="34"/>
    <w:qFormat/>
    <w:rsid w:val="00CD4701"/>
    <w:pPr>
      <w:spacing w:after="160" w:line="278" w:lineRule="auto"/>
      <w:ind w:left="720"/>
      <w:contextualSpacing/>
      <w:jc w:val="left"/>
    </w:pPr>
    <w:rPr>
      <w:rFonts w:asciiTheme="minorHAnsi" w:eastAsiaTheme="minorEastAsia" w:hAnsiTheme="minorHAnsi" w:cstheme="minorBidi"/>
      <w:sz w:val="22"/>
      <w:szCs w:val="24"/>
      <w14:ligatures w14:val="standardContextual"/>
    </w:rPr>
  </w:style>
  <w:style w:type="character" w:styleId="aa">
    <w:name w:val="Intense Emphasis"/>
    <w:basedOn w:val="a0"/>
    <w:uiPriority w:val="21"/>
    <w:qFormat/>
    <w:rsid w:val="00CD4701"/>
    <w:rPr>
      <w:i/>
      <w:iCs/>
      <w:color w:val="0F4761" w:themeColor="accent1" w:themeShade="BF"/>
    </w:rPr>
  </w:style>
  <w:style w:type="paragraph" w:styleId="ab">
    <w:name w:val="Intense Quote"/>
    <w:basedOn w:val="a"/>
    <w:next w:val="a"/>
    <w:link w:val="ac"/>
    <w:uiPriority w:val="30"/>
    <w:qFormat/>
    <w:rsid w:val="00CD470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sz w:val="22"/>
      <w:szCs w:val="24"/>
      <w14:ligatures w14:val="standardContextual"/>
    </w:rPr>
  </w:style>
  <w:style w:type="character" w:customStyle="1" w:styleId="ac">
    <w:name w:val="明显引用 字符"/>
    <w:basedOn w:val="a0"/>
    <w:link w:val="ab"/>
    <w:uiPriority w:val="30"/>
    <w:rsid w:val="00CD4701"/>
    <w:rPr>
      <w:i/>
      <w:iCs/>
      <w:color w:val="0F4761" w:themeColor="accent1" w:themeShade="BF"/>
    </w:rPr>
  </w:style>
  <w:style w:type="character" w:styleId="ad">
    <w:name w:val="Intense Reference"/>
    <w:basedOn w:val="a0"/>
    <w:uiPriority w:val="32"/>
    <w:qFormat/>
    <w:rsid w:val="00CD4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Liusong Tang</dc:creator>
  <cp:keywords/>
  <dc:description/>
  <cp:lastModifiedBy>Liusong Tang</cp:lastModifiedBy>
  <cp:revision>1</cp:revision>
  <dcterms:created xsi:type="dcterms:W3CDTF">2025-09-19T09:09:00Z</dcterms:created>
  <dcterms:modified xsi:type="dcterms:W3CDTF">2025-09-19T09:13:00Z</dcterms:modified>
</cp:coreProperties>
</file>