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38C8C" w14:textId="32B1B915" w:rsidR="00381E0C" w:rsidRPr="00381E0C" w:rsidRDefault="00381E0C" w:rsidP="00381E0C">
      <w:pPr>
        <w:spacing w:after="240"/>
        <w:rPr>
          <w:rFonts w:cs="Calibri"/>
          <w:b/>
          <w:bCs/>
          <w:sz w:val="32"/>
        </w:rPr>
      </w:pPr>
      <w:r w:rsidRPr="00381E0C">
        <w:rPr>
          <w:rFonts w:cs="Calibri"/>
          <w:b/>
          <w:bCs/>
          <w:sz w:val="32"/>
        </w:rPr>
        <w:t>Task 1</w:t>
      </w:r>
    </w:p>
    <w:p w14:paraId="58442508" w14:textId="724AC20E" w:rsidR="00381E0C" w:rsidRPr="00381E0C" w:rsidRDefault="00381E0C" w:rsidP="00381E0C">
      <w:pPr>
        <w:autoSpaceDE w:val="0"/>
        <w:spacing w:line="360" w:lineRule="auto"/>
        <w:rPr>
          <w:rFonts w:cs="Calibri"/>
          <w:sz w:val="24"/>
          <w:szCs w:val="24"/>
        </w:rPr>
      </w:pPr>
      <w:r w:rsidRPr="00381E0C">
        <w:rPr>
          <w:rFonts w:cs="Calibri"/>
          <w:sz w:val="24"/>
          <w:szCs w:val="24"/>
        </w:rPr>
        <w:t xml:space="preserve">The technological lock-ins means one organization too depend on the </w:t>
      </w:r>
      <w:proofErr w:type="gramStart"/>
      <w:r w:rsidRPr="00381E0C">
        <w:rPr>
          <w:rFonts w:cs="Calibri"/>
          <w:sz w:val="24"/>
          <w:szCs w:val="24"/>
        </w:rPr>
        <w:t>particular technology</w:t>
      </w:r>
      <w:proofErr w:type="gramEnd"/>
      <w:r w:rsidRPr="00381E0C">
        <w:rPr>
          <w:rFonts w:cs="Calibri"/>
          <w:sz w:val="24"/>
          <w:szCs w:val="24"/>
        </w:rPr>
        <w:t xml:space="preserve"> to using alternative solutions. The vendor lock-ins means one organization deeply use one a specific vendor’s products or services, which is difficult to switch to a competitor or alternative solutions. </w:t>
      </w:r>
      <w:proofErr w:type="spellStart"/>
      <w:r w:rsidRPr="00381E0C">
        <w:rPr>
          <w:rFonts w:cs="Calibri"/>
          <w:sz w:val="24"/>
          <w:szCs w:val="24"/>
        </w:rPr>
        <w:t>Form</w:t>
      </w:r>
      <w:proofErr w:type="spellEnd"/>
      <w:r w:rsidRPr="00381E0C">
        <w:rPr>
          <w:rFonts w:cs="Calibri"/>
          <w:sz w:val="24"/>
          <w:szCs w:val="24"/>
        </w:rPr>
        <w:t xml:space="preserve"> my point, the relevant example is almost everyone use </w:t>
      </w:r>
      <w:proofErr w:type="spellStart"/>
      <w:r w:rsidRPr="00381E0C">
        <w:rPr>
          <w:rFonts w:cs="Calibri"/>
          <w:sz w:val="24"/>
          <w:szCs w:val="24"/>
        </w:rPr>
        <w:t>microsoft</w:t>
      </w:r>
      <w:proofErr w:type="spellEnd"/>
      <w:r w:rsidRPr="00381E0C">
        <w:rPr>
          <w:rFonts w:cs="Calibri"/>
          <w:sz w:val="24"/>
          <w:szCs w:val="24"/>
        </w:rPr>
        <w:t xml:space="preserve"> office to work and learn. Even there’s some cheaper products to replace, the cost is too huge to accept. </w:t>
      </w:r>
      <w:proofErr w:type="gramStart"/>
      <w:r w:rsidRPr="00381E0C">
        <w:rPr>
          <w:rFonts w:cs="Calibri"/>
          <w:sz w:val="24"/>
          <w:szCs w:val="24"/>
        </w:rPr>
        <w:t>The another</w:t>
      </w:r>
      <w:proofErr w:type="gramEnd"/>
      <w:r w:rsidRPr="00381E0C">
        <w:rPr>
          <w:rFonts w:cs="Calibri"/>
          <w:sz w:val="24"/>
          <w:szCs w:val="24"/>
        </w:rPr>
        <w:t xml:space="preserve"> example is Apple products. These products have unique technical route, which is different from many android products.</w:t>
      </w:r>
    </w:p>
    <w:p w14:paraId="494D7CEC" w14:textId="77777777" w:rsidR="00381E0C" w:rsidRPr="00381E0C" w:rsidRDefault="00381E0C" w:rsidP="00381E0C">
      <w:pPr>
        <w:autoSpaceDE w:val="0"/>
        <w:spacing w:line="360" w:lineRule="auto"/>
        <w:rPr>
          <w:rFonts w:cs="Calibri"/>
          <w:sz w:val="24"/>
          <w:szCs w:val="24"/>
        </w:rPr>
      </w:pPr>
      <w:proofErr w:type="gramStart"/>
      <w:r w:rsidRPr="00381E0C">
        <w:rPr>
          <w:rFonts w:cs="Calibri"/>
          <w:sz w:val="24"/>
          <w:szCs w:val="24"/>
        </w:rPr>
        <w:t>In order to</w:t>
      </w:r>
      <w:proofErr w:type="gramEnd"/>
      <w:r w:rsidRPr="00381E0C">
        <w:rPr>
          <w:rFonts w:cs="Calibri"/>
          <w:sz w:val="24"/>
          <w:szCs w:val="24"/>
        </w:rPr>
        <w:t xml:space="preserve"> get </w:t>
      </w:r>
      <w:proofErr w:type="spellStart"/>
      <w:r w:rsidRPr="00381E0C">
        <w:rPr>
          <w:rFonts w:cs="Calibri"/>
          <w:sz w:val="24"/>
          <w:szCs w:val="24"/>
        </w:rPr>
        <w:t>ride</w:t>
      </w:r>
      <w:proofErr w:type="spellEnd"/>
      <w:r w:rsidRPr="00381E0C">
        <w:rPr>
          <w:rFonts w:cs="Calibri"/>
          <w:sz w:val="24"/>
          <w:szCs w:val="24"/>
        </w:rPr>
        <w:t xml:space="preserve"> of technological lock-ins and vendor lock-ins, the organization </w:t>
      </w:r>
      <w:proofErr w:type="gramStart"/>
      <w:r w:rsidRPr="00381E0C">
        <w:rPr>
          <w:rFonts w:cs="Calibri"/>
          <w:sz w:val="24"/>
          <w:szCs w:val="24"/>
        </w:rPr>
        <w:t>has to</w:t>
      </w:r>
      <w:proofErr w:type="gramEnd"/>
      <w:r w:rsidRPr="00381E0C">
        <w:rPr>
          <w:rFonts w:cs="Calibri"/>
          <w:sz w:val="24"/>
          <w:szCs w:val="24"/>
        </w:rPr>
        <w:t xml:space="preserve"> face expensive switch cost, incompatible to other systems, new learning cost, breach the contact and so on.</w:t>
      </w:r>
    </w:p>
    <w:p w14:paraId="3CBE3B7B" w14:textId="77777777" w:rsidR="00381E0C" w:rsidRPr="00381E0C" w:rsidRDefault="00381E0C" w:rsidP="00381E0C">
      <w:pPr>
        <w:autoSpaceDE w:val="0"/>
        <w:spacing w:line="360" w:lineRule="auto"/>
        <w:rPr>
          <w:rFonts w:cs="Calibri"/>
          <w:sz w:val="24"/>
          <w:szCs w:val="24"/>
        </w:rPr>
      </w:pPr>
      <w:r w:rsidRPr="00381E0C">
        <w:rPr>
          <w:rFonts w:cs="Calibri"/>
          <w:sz w:val="24"/>
          <w:szCs w:val="24"/>
        </w:rPr>
        <w:t xml:space="preserve">The advantages of </w:t>
      </w:r>
      <w:proofErr w:type="spellStart"/>
      <w:r w:rsidRPr="00381E0C">
        <w:rPr>
          <w:rFonts w:cs="Calibri"/>
          <w:sz w:val="24"/>
          <w:szCs w:val="24"/>
        </w:rPr>
        <w:t>remaing</w:t>
      </w:r>
      <w:proofErr w:type="spellEnd"/>
      <w:r w:rsidRPr="00381E0C">
        <w:rPr>
          <w:rFonts w:cs="Calibri"/>
          <w:sz w:val="24"/>
          <w:szCs w:val="24"/>
        </w:rPr>
        <w:t xml:space="preserve"> previous lock-ins are consistent and steady system or operational logic, single responsible party and less learning cost. The disadvantages are less innovation chances, imbalance between supply and demand, higher switch cost in the future, lack of flexibility and security risks.</w:t>
      </w:r>
    </w:p>
    <w:p w14:paraId="1C8F9625" w14:textId="5DB32CF6" w:rsidR="00381E0C" w:rsidRDefault="00381E0C"/>
    <w:p w14:paraId="3DD0B275" w14:textId="77777777" w:rsidR="00381E0C" w:rsidRDefault="00381E0C">
      <w:pPr>
        <w:widowControl/>
        <w:spacing w:after="160" w:line="278" w:lineRule="auto"/>
        <w:jc w:val="left"/>
      </w:pPr>
      <w:r>
        <w:br w:type="page"/>
      </w:r>
    </w:p>
    <w:p w14:paraId="0F327C8F" w14:textId="77777777" w:rsidR="00381E0C" w:rsidRDefault="00381E0C" w:rsidP="00381E0C">
      <w:pPr>
        <w:spacing w:after="240"/>
        <w:rPr>
          <w:rFonts w:cs="Calibri"/>
          <w:b/>
          <w:bCs/>
          <w:sz w:val="32"/>
        </w:rPr>
      </w:pPr>
      <w:r w:rsidRPr="004A7E15">
        <w:rPr>
          <w:rFonts w:cs="Calibri"/>
          <w:b/>
          <w:bCs/>
          <w:sz w:val="32"/>
        </w:rPr>
        <w:lastRenderedPageBreak/>
        <w:t>R</w:t>
      </w:r>
      <w:r w:rsidRPr="004A7E15">
        <w:rPr>
          <w:rFonts w:cs="Calibri" w:hint="eastAsia"/>
          <w:b/>
          <w:bCs/>
          <w:sz w:val="32"/>
        </w:rPr>
        <w:t>eferences</w:t>
      </w:r>
    </w:p>
    <w:p w14:paraId="13667C17" w14:textId="00E9BE77" w:rsidR="00381E0C" w:rsidRPr="00381E0C" w:rsidRDefault="00381E0C" w:rsidP="00381E0C">
      <w:pPr>
        <w:spacing w:line="360" w:lineRule="auto"/>
        <w:rPr>
          <w:rFonts w:cs="Calibri"/>
          <w:sz w:val="24"/>
          <w:szCs w:val="24"/>
        </w:rPr>
      </w:pPr>
      <w:r w:rsidRPr="00381E0C">
        <w:rPr>
          <w:rFonts w:cs="Calibri"/>
          <w:sz w:val="24"/>
          <w:szCs w:val="24"/>
        </w:rPr>
        <w:t xml:space="preserve">Goh, R. (2023). </w:t>
      </w:r>
      <w:r w:rsidRPr="00381E0C">
        <w:rPr>
          <w:rFonts w:cs="Calibri"/>
          <w:sz w:val="24"/>
          <w:szCs w:val="24"/>
        </w:rPr>
        <w:t>Technology lock-ins pose a risk in uncertain economic times</w:t>
      </w:r>
      <w:r w:rsidRPr="00381E0C">
        <w:rPr>
          <w:rFonts w:cs="Calibri"/>
          <w:sz w:val="24"/>
          <w:szCs w:val="24"/>
        </w:rPr>
        <w:t>.</w:t>
      </w:r>
    </w:p>
    <w:p w14:paraId="09FBF341" w14:textId="7A5D5452" w:rsidR="00381E0C" w:rsidRPr="00381E0C" w:rsidRDefault="00381E0C" w:rsidP="00381E0C">
      <w:pPr>
        <w:spacing w:line="360" w:lineRule="auto"/>
        <w:rPr>
          <w:sz w:val="24"/>
          <w:szCs w:val="24"/>
        </w:rPr>
      </w:pPr>
      <w:hyperlink r:id="rId4" w:history="1">
        <w:r w:rsidRPr="00381E0C">
          <w:rPr>
            <w:rStyle w:val="ae"/>
            <w:sz w:val="24"/>
            <w:szCs w:val="24"/>
          </w:rPr>
          <w:t>https://www.frontier-enterprise.com/technology-lock-ins-pose-a-risk-in-uncertain-economic-times/</w:t>
        </w:r>
      </w:hyperlink>
    </w:p>
    <w:p w14:paraId="5C32879F" w14:textId="4CFCE24A" w:rsidR="00381E0C" w:rsidRDefault="00381E0C" w:rsidP="00381E0C">
      <w:pPr>
        <w:spacing w:line="360" w:lineRule="auto"/>
      </w:pPr>
      <w:r w:rsidRPr="00381E0C">
        <w:rPr>
          <w:rFonts w:cs="Calibri"/>
          <w:sz w:val="24"/>
          <w:szCs w:val="24"/>
        </w:rPr>
        <w:t>D</w:t>
      </w:r>
      <w:r w:rsidRPr="00381E0C">
        <w:rPr>
          <w:rFonts w:cs="Calibri" w:hint="eastAsia"/>
          <w:sz w:val="24"/>
          <w:szCs w:val="24"/>
        </w:rPr>
        <w:t>irectory</w:t>
      </w:r>
      <w:r w:rsidRPr="00381E0C">
        <w:rPr>
          <w:rFonts w:cs="Calibri"/>
          <w:sz w:val="24"/>
          <w:szCs w:val="24"/>
        </w:rPr>
        <w:t xml:space="preserve">, S. (2025). </w:t>
      </w:r>
      <w:r w:rsidRPr="00381E0C">
        <w:rPr>
          <w:rFonts w:cs="Calibri"/>
          <w:sz w:val="24"/>
          <w:szCs w:val="24"/>
        </w:rPr>
        <w:t>What Factors Contribute to Technological Lock In?</w:t>
      </w:r>
    </w:p>
    <w:p w14:paraId="45CDB6C4" w14:textId="02DEF193" w:rsidR="00381E0C" w:rsidRPr="00381E0C" w:rsidRDefault="00381E0C" w:rsidP="00381E0C">
      <w:pPr>
        <w:spacing w:line="360" w:lineRule="auto"/>
        <w:rPr>
          <w:sz w:val="24"/>
          <w:szCs w:val="24"/>
        </w:rPr>
      </w:pPr>
      <w:hyperlink r:id="rId5" w:history="1">
        <w:r w:rsidRPr="00381E0C">
          <w:rPr>
            <w:rStyle w:val="ae"/>
            <w:sz w:val="24"/>
            <w:szCs w:val="24"/>
          </w:rPr>
          <w:t>https://climate.sustainability-directory.com/question/what-factors-contribute-to-technological-lock-in/</w:t>
        </w:r>
      </w:hyperlink>
    </w:p>
    <w:p w14:paraId="53CF19DE" w14:textId="49E052D6" w:rsidR="00381E0C" w:rsidRPr="00381E0C" w:rsidRDefault="00381E0C" w:rsidP="00381E0C">
      <w:pPr>
        <w:spacing w:line="360" w:lineRule="auto"/>
        <w:rPr>
          <w:rFonts w:cs="Calibri"/>
          <w:sz w:val="24"/>
          <w:szCs w:val="24"/>
        </w:rPr>
      </w:pPr>
      <w:r w:rsidRPr="00381E0C">
        <w:rPr>
          <w:rFonts w:cs="Calibri"/>
          <w:sz w:val="24"/>
          <w:szCs w:val="24"/>
        </w:rPr>
        <w:t xml:space="preserve">Edwards, J. (2023). </w:t>
      </w:r>
      <w:r w:rsidRPr="00381E0C">
        <w:rPr>
          <w:rFonts w:cs="Calibri"/>
          <w:sz w:val="24"/>
          <w:szCs w:val="24"/>
        </w:rPr>
        <w:t>The Best Ways to Avoid Vendor Lock-In</w:t>
      </w:r>
    </w:p>
    <w:p w14:paraId="4CADCA06" w14:textId="4450F9DF" w:rsidR="00381E0C" w:rsidRPr="00381E0C" w:rsidRDefault="00381E0C" w:rsidP="00381E0C">
      <w:pPr>
        <w:spacing w:line="360" w:lineRule="auto"/>
        <w:rPr>
          <w:sz w:val="24"/>
          <w:szCs w:val="24"/>
        </w:rPr>
      </w:pPr>
      <w:hyperlink r:id="rId6" w:history="1">
        <w:r w:rsidRPr="00381E0C">
          <w:rPr>
            <w:rStyle w:val="ae"/>
            <w:sz w:val="24"/>
            <w:szCs w:val="24"/>
          </w:rPr>
          <w:t>https://www.informationweek.com/software-services/the-best-ways-to-avoid-vendor-lock-in</w:t>
        </w:r>
      </w:hyperlink>
    </w:p>
    <w:sectPr w:rsidR="00381E0C" w:rsidRPr="00381E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0C"/>
    <w:rsid w:val="00381E0C"/>
    <w:rsid w:val="0094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31D54C"/>
  <w15:chartTrackingRefBased/>
  <w15:docId w15:val="{79048A64-BD75-1D4B-B8B5-C70651F3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1E0C"/>
    <w:pPr>
      <w:widowControl w:val="0"/>
      <w:spacing w:after="0" w:line="240" w:lineRule="auto"/>
      <w:jc w:val="both"/>
    </w:pPr>
    <w:rPr>
      <w:rFonts w:ascii="Calibri" w:eastAsia="宋体" w:hAnsi="Calibri" w:cs="Times New Roman"/>
      <w:sz w:val="21"/>
      <w:szCs w:val="21"/>
      <w14:ligatures w14:val="none"/>
    </w:rPr>
  </w:style>
  <w:style w:type="paragraph" w:styleId="1">
    <w:name w:val="heading 1"/>
    <w:basedOn w:val="a"/>
    <w:next w:val="a"/>
    <w:link w:val="10"/>
    <w:uiPriority w:val="9"/>
    <w:qFormat/>
    <w:rsid w:val="00381E0C"/>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381E0C"/>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381E0C"/>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381E0C"/>
    <w:pPr>
      <w:keepNext/>
      <w:keepLines/>
      <w:spacing w:before="80" w:after="40" w:line="278" w:lineRule="auto"/>
      <w:jc w:val="left"/>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381E0C"/>
    <w:pPr>
      <w:keepNext/>
      <w:keepLines/>
      <w:spacing w:before="80" w:after="40" w:line="278" w:lineRule="auto"/>
      <w:jc w:val="left"/>
      <w:outlineLvl w:val="4"/>
    </w:pPr>
    <w:rPr>
      <w:rFonts w:asciiTheme="minorHAnsi" w:eastAsiaTheme="minorEastAsia" w:hAnsiTheme="minorHAnsi" w:cstheme="majorBidi"/>
      <w:color w:val="0F4761" w:themeColor="accent1" w:themeShade="BF"/>
      <w:sz w:val="24"/>
      <w:szCs w:val="24"/>
      <w14:ligatures w14:val="standardContextual"/>
    </w:rPr>
  </w:style>
  <w:style w:type="paragraph" w:styleId="6">
    <w:name w:val="heading 6"/>
    <w:basedOn w:val="a"/>
    <w:next w:val="a"/>
    <w:link w:val="60"/>
    <w:uiPriority w:val="9"/>
    <w:semiHidden/>
    <w:unhideWhenUsed/>
    <w:qFormat/>
    <w:rsid w:val="00381E0C"/>
    <w:pPr>
      <w:keepNext/>
      <w:keepLines/>
      <w:spacing w:before="40" w:line="278" w:lineRule="auto"/>
      <w:jc w:val="left"/>
      <w:outlineLvl w:val="5"/>
    </w:pPr>
    <w:rPr>
      <w:rFonts w:asciiTheme="minorHAnsi" w:eastAsiaTheme="minorEastAsia" w:hAnsiTheme="minorHAnsi" w:cstheme="majorBidi"/>
      <w:b/>
      <w:bCs/>
      <w:color w:val="0F4761" w:themeColor="accent1" w:themeShade="BF"/>
      <w:sz w:val="22"/>
      <w:szCs w:val="24"/>
      <w14:ligatures w14:val="standardContextual"/>
    </w:rPr>
  </w:style>
  <w:style w:type="paragraph" w:styleId="7">
    <w:name w:val="heading 7"/>
    <w:basedOn w:val="a"/>
    <w:next w:val="a"/>
    <w:link w:val="70"/>
    <w:uiPriority w:val="9"/>
    <w:semiHidden/>
    <w:unhideWhenUsed/>
    <w:qFormat/>
    <w:rsid w:val="00381E0C"/>
    <w:pPr>
      <w:keepNext/>
      <w:keepLines/>
      <w:spacing w:before="40" w:line="278" w:lineRule="auto"/>
      <w:jc w:val="left"/>
      <w:outlineLvl w:val="6"/>
    </w:pPr>
    <w:rPr>
      <w:rFonts w:asciiTheme="minorHAnsi" w:eastAsiaTheme="minorEastAsia" w:hAnsiTheme="minorHAnsi" w:cstheme="majorBidi"/>
      <w:b/>
      <w:bCs/>
      <w:color w:val="595959" w:themeColor="text1" w:themeTint="A6"/>
      <w:sz w:val="22"/>
      <w:szCs w:val="24"/>
      <w14:ligatures w14:val="standardContextual"/>
    </w:rPr>
  </w:style>
  <w:style w:type="paragraph" w:styleId="8">
    <w:name w:val="heading 8"/>
    <w:basedOn w:val="a"/>
    <w:next w:val="a"/>
    <w:link w:val="80"/>
    <w:uiPriority w:val="9"/>
    <w:semiHidden/>
    <w:unhideWhenUsed/>
    <w:qFormat/>
    <w:rsid w:val="00381E0C"/>
    <w:pPr>
      <w:keepNext/>
      <w:keepLines/>
      <w:spacing w:line="278" w:lineRule="auto"/>
      <w:jc w:val="left"/>
      <w:outlineLvl w:val="7"/>
    </w:pPr>
    <w:rPr>
      <w:rFonts w:asciiTheme="minorHAnsi" w:eastAsiaTheme="minorEastAsia" w:hAnsiTheme="minorHAnsi" w:cstheme="majorBidi"/>
      <w:color w:val="595959" w:themeColor="text1" w:themeTint="A6"/>
      <w:sz w:val="22"/>
      <w:szCs w:val="24"/>
      <w14:ligatures w14:val="standardContextual"/>
    </w:rPr>
  </w:style>
  <w:style w:type="paragraph" w:styleId="9">
    <w:name w:val="heading 9"/>
    <w:basedOn w:val="a"/>
    <w:next w:val="a"/>
    <w:link w:val="90"/>
    <w:uiPriority w:val="9"/>
    <w:semiHidden/>
    <w:unhideWhenUsed/>
    <w:qFormat/>
    <w:rsid w:val="00381E0C"/>
    <w:pPr>
      <w:keepNext/>
      <w:keepLines/>
      <w:spacing w:line="278" w:lineRule="auto"/>
      <w:jc w:val="left"/>
      <w:outlineLvl w:val="8"/>
    </w:pPr>
    <w:rPr>
      <w:rFonts w:asciiTheme="minorHAnsi" w:eastAsiaTheme="majorEastAsia" w:hAnsiTheme="minorHAnsi" w:cstheme="majorBidi"/>
      <w:color w:val="595959" w:themeColor="text1" w:themeTint="A6"/>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E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1E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1E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1E0C"/>
    <w:rPr>
      <w:rFonts w:cstheme="majorBidi"/>
      <w:color w:val="0F4761" w:themeColor="accent1" w:themeShade="BF"/>
      <w:sz w:val="28"/>
      <w:szCs w:val="28"/>
    </w:rPr>
  </w:style>
  <w:style w:type="character" w:customStyle="1" w:styleId="50">
    <w:name w:val="标题 5 字符"/>
    <w:basedOn w:val="a0"/>
    <w:link w:val="5"/>
    <w:uiPriority w:val="9"/>
    <w:semiHidden/>
    <w:rsid w:val="00381E0C"/>
    <w:rPr>
      <w:rFonts w:cstheme="majorBidi"/>
      <w:color w:val="0F4761" w:themeColor="accent1" w:themeShade="BF"/>
      <w:sz w:val="24"/>
    </w:rPr>
  </w:style>
  <w:style w:type="character" w:customStyle="1" w:styleId="60">
    <w:name w:val="标题 6 字符"/>
    <w:basedOn w:val="a0"/>
    <w:link w:val="6"/>
    <w:uiPriority w:val="9"/>
    <w:semiHidden/>
    <w:rsid w:val="00381E0C"/>
    <w:rPr>
      <w:rFonts w:cstheme="majorBidi"/>
      <w:b/>
      <w:bCs/>
      <w:color w:val="0F4761" w:themeColor="accent1" w:themeShade="BF"/>
    </w:rPr>
  </w:style>
  <w:style w:type="character" w:customStyle="1" w:styleId="70">
    <w:name w:val="标题 7 字符"/>
    <w:basedOn w:val="a0"/>
    <w:link w:val="7"/>
    <w:uiPriority w:val="9"/>
    <w:semiHidden/>
    <w:rsid w:val="00381E0C"/>
    <w:rPr>
      <w:rFonts w:cstheme="majorBidi"/>
      <w:b/>
      <w:bCs/>
      <w:color w:val="595959" w:themeColor="text1" w:themeTint="A6"/>
    </w:rPr>
  </w:style>
  <w:style w:type="character" w:customStyle="1" w:styleId="80">
    <w:name w:val="标题 8 字符"/>
    <w:basedOn w:val="a0"/>
    <w:link w:val="8"/>
    <w:uiPriority w:val="9"/>
    <w:semiHidden/>
    <w:rsid w:val="00381E0C"/>
    <w:rPr>
      <w:rFonts w:cstheme="majorBidi"/>
      <w:color w:val="595959" w:themeColor="text1" w:themeTint="A6"/>
    </w:rPr>
  </w:style>
  <w:style w:type="character" w:customStyle="1" w:styleId="90">
    <w:name w:val="标题 9 字符"/>
    <w:basedOn w:val="a0"/>
    <w:link w:val="9"/>
    <w:uiPriority w:val="9"/>
    <w:semiHidden/>
    <w:rsid w:val="00381E0C"/>
    <w:rPr>
      <w:rFonts w:eastAsiaTheme="majorEastAsia" w:cstheme="majorBidi"/>
      <w:color w:val="595959" w:themeColor="text1" w:themeTint="A6"/>
    </w:rPr>
  </w:style>
  <w:style w:type="paragraph" w:styleId="a3">
    <w:name w:val="Title"/>
    <w:basedOn w:val="a"/>
    <w:next w:val="a"/>
    <w:link w:val="a4"/>
    <w:uiPriority w:val="10"/>
    <w:qFormat/>
    <w:rsid w:val="00381E0C"/>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381E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1E0C"/>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381E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1E0C"/>
    <w:pPr>
      <w:spacing w:before="160" w:after="160" w:line="278" w:lineRule="auto"/>
      <w:jc w:val="center"/>
    </w:pPr>
    <w:rPr>
      <w:rFonts w:asciiTheme="minorHAnsi" w:eastAsiaTheme="minorEastAsia" w:hAnsiTheme="minorHAnsi" w:cstheme="minorBidi"/>
      <w:i/>
      <w:iCs/>
      <w:color w:val="404040" w:themeColor="text1" w:themeTint="BF"/>
      <w:sz w:val="22"/>
      <w:szCs w:val="24"/>
      <w14:ligatures w14:val="standardContextual"/>
    </w:rPr>
  </w:style>
  <w:style w:type="character" w:customStyle="1" w:styleId="a8">
    <w:name w:val="引用 字符"/>
    <w:basedOn w:val="a0"/>
    <w:link w:val="a7"/>
    <w:uiPriority w:val="29"/>
    <w:rsid w:val="00381E0C"/>
    <w:rPr>
      <w:i/>
      <w:iCs/>
      <w:color w:val="404040" w:themeColor="text1" w:themeTint="BF"/>
    </w:rPr>
  </w:style>
  <w:style w:type="paragraph" w:styleId="a9">
    <w:name w:val="List Paragraph"/>
    <w:basedOn w:val="a"/>
    <w:uiPriority w:val="34"/>
    <w:qFormat/>
    <w:rsid w:val="00381E0C"/>
    <w:pPr>
      <w:spacing w:after="160" w:line="278" w:lineRule="auto"/>
      <w:ind w:left="720"/>
      <w:contextualSpacing/>
      <w:jc w:val="left"/>
    </w:pPr>
    <w:rPr>
      <w:rFonts w:asciiTheme="minorHAnsi" w:eastAsiaTheme="minorEastAsia" w:hAnsiTheme="minorHAnsi" w:cstheme="minorBidi"/>
      <w:sz w:val="22"/>
      <w:szCs w:val="24"/>
      <w14:ligatures w14:val="standardContextual"/>
    </w:rPr>
  </w:style>
  <w:style w:type="character" w:styleId="aa">
    <w:name w:val="Intense Emphasis"/>
    <w:basedOn w:val="a0"/>
    <w:uiPriority w:val="21"/>
    <w:qFormat/>
    <w:rsid w:val="00381E0C"/>
    <w:rPr>
      <w:i/>
      <w:iCs/>
      <w:color w:val="0F4761" w:themeColor="accent1" w:themeShade="BF"/>
    </w:rPr>
  </w:style>
  <w:style w:type="paragraph" w:styleId="ab">
    <w:name w:val="Intense Quote"/>
    <w:basedOn w:val="a"/>
    <w:next w:val="a"/>
    <w:link w:val="ac"/>
    <w:uiPriority w:val="30"/>
    <w:qFormat/>
    <w:rsid w:val="00381E0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sz w:val="22"/>
      <w:szCs w:val="24"/>
      <w14:ligatures w14:val="standardContextual"/>
    </w:rPr>
  </w:style>
  <w:style w:type="character" w:customStyle="1" w:styleId="ac">
    <w:name w:val="明显引用 字符"/>
    <w:basedOn w:val="a0"/>
    <w:link w:val="ab"/>
    <w:uiPriority w:val="30"/>
    <w:rsid w:val="00381E0C"/>
    <w:rPr>
      <w:i/>
      <w:iCs/>
      <w:color w:val="0F4761" w:themeColor="accent1" w:themeShade="BF"/>
    </w:rPr>
  </w:style>
  <w:style w:type="character" w:styleId="ad">
    <w:name w:val="Intense Reference"/>
    <w:basedOn w:val="a0"/>
    <w:uiPriority w:val="32"/>
    <w:qFormat/>
    <w:rsid w:val="00381E0C"/>
    <w:rPr>
      <w:b/>
      <w:bCs/>
      <w:smallCaps/>
      <w:color w:val="0F4761" w:themeColor="accent1" w:themeShade="BF"/>
      <w:spacing w:val="5"/>
    </w:rPr>
  </w:style>
  <w:style w:type="character" w:styleId="ae">
    <w:name w:val="Hyperlink"/>
    <w:basedOn w:val="a0"/>
    <w:uiPriority w:val="99"/>
    <w:unhideWhenUsed/>
    <w:rsid w:val="00381E0C"/>
    <w:rPr>
      <w:color w:val="467886" w:themeColor="hyperlink"/>
      <w:u w:val="single"/>
    </w:rPr>
  </w:style>
  <w:style w:type="character" w:styleId="af">
    <w:name w:val="Unresolved Mention"/>
    <w:basedOn w:val="a0"/>
    <w:uiPriority w:val="99"/>
    <w:semiHidden/>
    <w:unhideWhenUsed/>
    <w:rsid w:val="0038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rmationweek.com/software-services/the-best-ways-to-avoid-vendor-lock-in" TargetMode="External"/><Relationship Id="rId5" Type="http://schemas.openxmlformats.org/officeDocument/2006/relationships/hyperlink" Target="https://climate.sustainability-directory.com/question/what-factors-contribute-to-technological-lock-in/" TargetMode="External"/><Relationship Id="rId4" Type="http://schemas.openxmlformats.org/officeDocument/2006/relationships/hyperlink" Target="https://www.frontier-enterprise.com/technology-lock-ins-pose-a-risk-in-uncertain-economic-tim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Liusong Tang</dc:creator>
  <cp:keywords/>
  <dc:description/>
  <cp:lastModifiedBy>Liusong Tang</cp:lastModifiedBy>
  <cp:revision>1</cp:revision>
  <dcterms:created xsi:type="dcterms:W3CDTF">2025-09-25T16:05:00Z</dcterms:created>
  <dcterms:modified xsi:type="dcterms:W3CDTF">2025-09-25T16:22:00Z</dcterms:modified>
</cp:coreProperties>
</file>