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bidi w:val="0"/>
        <w:rPr>
          <w:rFonts w:hint="eastAsia"/>
          <w:lang w:val="en-US" w:eastAsia="zh-CN"/>
        </w:rPr>
      </w:pPr>
    </w:p>
    <w:p>
      <w:pPr>
        <w:pStyle w:val="16"/>
        <w:bidi w:val="0"/>
        <w:rPr>
          <w:rFonts w:hint="eastAsia"/>
          <w:lang w:val="en-US" w:eastAsia="zh-CN"/>
        </w:rPr>
      </w:pPr>
    </w:p>
    <w:p>
      <w:pPr>
        <w:pStyle w:val="2"/>
        <w:bidi w:val="0"/>
        <w:rPr>
          <w:rFonts w:hint="eastAsia"/>
        </w:rPr>
      </w:pPr>
      <w:r>
        <w:rPr>
          <w:rFonts w:hint="eastAsia"/>
        </w:rPr>
        <w:t>最高人民法院</w:t>
      </w:r>
      <w:r>
        <w:rPr>
          <w:rFonts w:hint="eastAsia"/>
        </w:rPr>
        <w:br w:type="textWrapping"/>
      </w:r>
      <w:r>
        <w:rPr>
          <w:rFonts w:hint="eastAsia"/>
        </w:rPr>
        <w:t>关于适用《中华人民共和国公司法》</w:t>
      </w:r>
      <w:r>
        <w:rPr>
          <w:rFonts w:hint="eastAsia"/>
        </w:rPr>
        <w:br w:type="textWrapping"/>
      </w:r>
      <w:r>
        <w:rPr>
          <w:rFonts w:hint="eastAsia"/>
        </w:rPr>
        <w:t>时间效力的若干规定</w:t>
      </w:r>
    </w:p>
    <w:p>
      <w:pPr>
        <w:pStyle w:val="16"/>
        <w:bidi w:val="0"/>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法释〔2024〕7号</w:t>
      </w:r>
    </w:p>
    <w:p>
      <w:pPr>
        <w:pStyle w:val="16"/>
        <w:bidi w:val="0"/>
      </w:pPr>
    </w:p>
    <w:p>
      <w:pPr>
        <w:pStyle w:val="13"/>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_GB2312" w:hAnsi="宋体" w:eastAsia="楷体_GB2312" w:cs="宋体"/>
          <w:szCs w:val="32"/>
        </w:rPr>
      </w:pPr>
      <w:r>
        <w:rPr>
          <w:rFonts w:hint="eastAsia"/>
        </w:rPr>
        <w:t>（2024年6月27日最高人民法院审判委员会第1922次会议通过，自2024年7月1日起施行）</w:t>
      </w:r>
    </w:p>
    <w:p>
      <w:pPr>
        <w:pStyle w:val="16"/>
        <w:bidi w:val="0"/>
      </w:pPr>
    </w:p>
    <w:p>
      <w:pPr>
        <w:bidi w:val="0"/>
      </w:pPr>
      <w:r>
        <w:rPr>
          <w:rFonts w:hint="eastAsia"/>
        </w:rPr>
        <w:t>为正确适用2023年12月29日第十四届全国人民代表大会常务委员会第七次会议第二次修订的《中华人民共和国公司法》</w:t>
      </w:r>
      <w:r>
        <w:rPr>
          <w:rFonts w:hint="eastAsia"/>
          <w:lang w:eastAsia="zh-CN"/>
        </w:rPr>
        <w:t>，</w:t>
      </w:r>
      <w:r>
        <w:rPr>
          <w:rFonts w:hint="eastAsia"/>
        </w:rPr>
        <w:t>根据《中华人民共和国立法法》《中华人民共和国民法典》等法律规定，就人民法院在审理与公司有关的民事纠纷案件中</w:t>
      </w:r>
      <w:r>
        <w:rPr>
          <w:rFonts w:hint="eastAsia"/>
          <w:lang w:eastAsia="zh-CN"/>
        </w:rPr>
        <w:t>，</w:t>
      </w:r>
      <w:r>
        <w:rPr>
          <w:rFonts w:hint="eastAsia"/>
        </w:rPr>
        <w:t>涉及公司法时间效力的有关问题作出如下规定。</w:t>
      </w:r>
    </w:p>
    <w:p>
      <w:pPr>
        <w:bidi w:val="0"/>
      </w:pPr>
      <w:r>
        <w:rPr>
          <w:rFonts w:hint="eastAsia" w:eastAsia="黑体"/>
          <w:sz w:val="32"/>
          <w:lang w:eastAsia="zh-CN"/>
        </w:rPr>
        <w:t>第一条</w:t>
      </w:r>
      <w:r>
        <w:rPr>
          <w:rFonts w:hint="eastAsia"/>
          <w:lang w:eastAsia="zh-CN"/>
        </w:rPr>
        <w:t>　</w:t>
      </w:r>
      <w:r>
        <w:rPr>
          <w:rFonts w:hint="eastAsia"/>
        </w:rPr>
        <w:t>公司法施行后的法律事实引起的民事纠纷案件，适用公司法的规定。</w:t>
      </w:r>
    </w:p>
    <w:p>
      <w:pPr>
        <w:bidi w:val="0"/>
      </w:pPr>
      <w:r>
        <w:rPr>
          <w:rFonts w:hint="eastAsia"/>
        </w:rPr>
        <w:t>公司法施行前的法律事实引起的民事纠纷案件，当时的法律、司法解释有规定的，适用当时的法律、司法解释的规定，但是适用公司法更有利于实现其立法目的，适用公司法的规定：</w:t>
      </w:r>
    </w:p>
    <w:p>
      <w:pPr>
        <w:bidi w:val="0"/>
      </w:pPr>
      <w:r>
        <w:rPr>
          <w:rFonts w:hint="eastAsia"/>
        </w:rPr>
        <w:t>（一）公司法施行前，公司的股东会召集程序不当，未被通知参加会议的股东自决议作出之日起一年内请求人民法院撤销的，适用公司法第二十六条第二款的规定；</w:t>
      </w:r>
    </w:p>
    <w:p>
      <w:pPr>
        <w:bidi w:val="0"/>
      </w:pPr>
      <w:r>
        <w:rPr>
          <w:rFonts w:hint="eastAsia"/>
        </w:rPr>
        <w:t>（二）公司法施行前的股东会决议、董事会决议被人民法院依法确认不成立，对公司根据该决议与善意相对人形成的法律关系效力发生争议的，适用公司法第二十八条第二款的规定；</w:t>
      </w:r>
    </w:p>
    <w:p>
      <w:pPr>
        <w:bidi w:val="0"/>
      </w:pPr>
      <w:r>
        <w:rPr>
          <w:rFonts w:hint="eastAsia"/>
        </w:rPr>
        <w:t>（三）公司法施行前，股东以债权出资，因出资方式发生争议的，适用公司法第四十八条第一款的规定；</w:t>
      </w:r>
    </w:p>
    <w:p>
      <w:pPr>
        <w:bidi w:val="0"/>
      </w:pPr>
      <w:r>
        <w:rPr>
          <w:rFonts w:hint="eastAsia"/>
        </w:rPr>
        <w:t>（四）公司法施行前，有限责任公司股东向股东以外的人转让股权，因股权转让发生争议的，适用公司法第八十四条第二款的规定；</w:t>
      </w:r>
    </w:p>
    <w:p>
      <w:pPr>
        <w:bidi w:val="0"/>
      </w:pPr>
      <w:r>
        <w:rPr>
          <w:rFonts w:hint="eastAsia"/>
        </w:rPr>
        <w:t>（五）公司法施行前，公司违反法律规定向股东分配利润、减少注册资本造成公司损失，因损害赔偿责任发生争议的，分别适用公司法第二百一十一条、</w:t>
      </w:r>
      <w:r>
        <w:rPr>
          <w:rFonts w:hint="eastAsia" w:ascii="仿宋_GB2312" w:hAnsi="仿宋_GB2312" w:eastAsia="仿宋_GB2312" w:cs="仿宋_GB2312"/>
          <w:sz w:val="32"/>
          <w:lang w:eastAsia="zh-CN"/>
        </w:rPr>
        <w:t>第二百二十六条</w:t>
      </w:r>
      <w:r>
        <w:rPr>
          <w:rFonts w:hint="eastAsia"/>
        </w:rPr>
        <w:t>的规定；</w:t>
      </w:r>
    </w:p>
    <w:p>
      <w:pPr>
        <w:bidi w:val="0"/>
      </w:pPr>
      <w:r>
        <w:rPr>
          <w:rFonts w:hint="eastAsia"/>
        </w:rPr>
        <w:t>（六）公司法施行前作出利润分配决议，因利润分配时限发生争议的，适用公司法第二百一十二条的规定；</w:t>
      </w:r>
    </w:p>
    <w:p>
      <w:pPr>
        <w:bidi w:val="0"/>
      </w:pPr>
      <w:r>
        <w:rPr>
          <w:rFonts w:hint="eastAsia"/>
        </w:rPr>
        <w:t>（七）公司法施行前，公司减少注册资本，股东对相应减少出资额或者股份数量发生争议的，适用公司法第二百二十四条第三款的规定。</w:t>
      </w:r>
    </w:p>
    <w:p>
      <w:pPr>
        <w:bidi w:val="0"/>
      </w:pPr>
      <w:r>
        <w:rPr>
          <w:rFonts w:hint="eastAsia" w:eastAsia="黑体"/>
          <w:sz w:val="32"/>
          <w:lang w:eastAsia="zh-CN"/>
        </w:rPr>
        <w:t>第二条</w:t>
      </w:r>
      <w:r>
        <w:rPr>
          <w:rFonts w:hint="eastAsia"/>
          <w:lang w:eastAsia="zh-CN"/>
        </w:rPr>
        <w:t>　</w:t>
      </w:r>
      <w:r>
        <w:rPr>
          <w:rFonts w:hint="eastAsia"/>
        </w:rPr>
        <w:t>公司法施行前与公司有关的民事法律行为，依据当时的法律、司法解释认定无效而依据公司法认定有效，因民事法律行为效力发生争议的下列情形，适用公司法的规定：</w:t>
      </w:r>
    </w:p>
    <w:p>
      <w:pPr>
        <w:bidi w:val="0"/>
      </w:pPr>
      <w:r>
        <w:rPr>
          <w:rFonts w:hint="eastAsia"/>
        </w:rPr>
        <w:t>（一）约定公司对所投资企业债务承担连带责任，对该约定效力发生争议的，适用公司法第十四条第二款的规定；</w:t>
      </w:r>
    </w:p>
    <w:p>
      <w:pPr>
        <w:bidi w:val="0"/>
      </w:pPr>
      <w:r>
        <w:rPr>
          <w:rFonts w:hint="eastAsia"/>
        </w:rPr>
        <w:t>（二）公司作出使用资本公积金弥补亏损的公司决议，对该决议效力发生争议的，适用公司法第二百一十四条的规定；</w:t>
      </w:r>
    </w:p>
    <w:p>
      <w:pPr>
        <w:bidi w:val="0"/>
      </w:pPr>
      <w:r>
        <w:rPr>
          <w:rFonts w:hint="eastAsia"/>
        </w:rPr>
        <w:t>（三）公司与其持股百分之九十以上的公司合并</w:t>
      </w:r>
      <w:r>
        <w:rPr>
          <w:rFonts w:hint="eastAsia"/>
          <w:lang w:eastAsia="zh-CN"/>
        </w:rPr>
        <w:t>，</w:t>
      </w:r>
      <w:r>
        <w:rPr>
          <w:rFonts w:hint="eastAsia"/>
        </w:rPr>
        <w:t>对合并决议效力发生争议的，适用公司法第二百一十九条的规定。</w:t>
      </w:r>
    </w:p>
    <w:p>
      <w:pPr>
        <w:bidi w:val="0"/>
      </w:pPr>
      <w:r>
        <w:rPr>
          <w:rFonts w:hint="eastAsia" w:eastAsia="黑体"/>
          <w:sz w:val="32"/>
          <w:lang w:eastAsia="zh-CN"/>
        </w:rPr>
        <w:t>第三条</w:t>
      </w:r>
      <w:r>
        <w:rPr>
          <w:rFonts w:hint="eastAsia"/>
          <w:lang w:eastAsia="zh-CN"/>
        </w:rPr>
        <w:t>　</w:t>
      </w:r>
      <w:r>
        <w:rPr>
          <w:rFonts w:hint="eastAsia"/>
        </w:rPr>
        <w:t>公司法施行前订立的与公司有关的合同，合同的履行持续至公司法施行后，因公司法施行前的履行行为发生争议的，适用当时的法律、司法解释的规定；因公司法施行后的履行行为发生争议的下列情形，适用公司法的规定：</w:t>
      </w:r>
    </w:p>
    <w:p>
      <w:pPr>
        <w:bidi w:val="0"/>
      </w:pPr>
      <w:r>
        <w:rPr>
          <w:rFonts w:hint="eastAsia"/>
        </w:rPr>
        <w:t>（一）代持上市公司股票合同，适用公司法第一百四十条第二款的规定；</w:t>
      </w:r>
    </w:p>
    <w:p>
      <w:pPr>
        <w:bidi w:val="0"/>
      </w:pPr>
      <w:r>
        <w:rPr>
          <w:rFonts w:hint="eastAsia"/>
        </w:rPr>
        <w:t>（二）上市公司控股子公司取得该上市公司股份合同，适用公司法第一百四十一条的规定；</w:t>
      </w:r>
    </w:p>
    <w:p>
      <w:pPr>
        <w:bidi w:val="0"/>
      </w:pPr>
      <w:r>
        <w:rPr>
          <w:rFonts w:hint="eastAsia"/>
        </w:rPr>
        <w:t>（三）股份有限公司为他人取得本公司或者母公司的股份提供赠与、借款、担保以及其他财务资助合同，适用公司法第一百六十三条的规定。</w:t>
      </w:r>
    </w:p>
    <w:p>
      <w:pPr>
        <w:bidi w:val="0"/>
      </w:pPr>
      <w:r>
        <w:rPr>
          <w:rFonts w:hint="eastAsia" w:eastAsia="黑体"/>
          <w:sz w:val="32"/>
          <w:lang w:eastAsia="zh-CN"/>
        </w:rPr>
        <w:t>第四条</w:t>
      </w:r>
      <w:r>
        <w:rPr>
          <w:rFonts w:hint="eastAsia"/>
          <w:lang w:eastAsia="zh-CN"/>
        </w:rPr>
        <w:t>　</w:t>
      </w:r>
      <w:r>
        <w:rPr>
          <w:rFonts w:hint="eastAsia"/>
        </w:rPr>
        <w:t>公司法施行前的法律事实引起的民事纠纷案件，当时的法律、司法解释没有规定而公司法作出规定的下列情形，适用公司法的规定：</w:t>
      </w:r>
    </w:p>
    <w:p>
      <w:pPr>
        <w:bidi w:val="0"/>
      </w:pPr>
      <w:r>
        <w:rPr>
          <w:rFonts w:hint="eastAsia"/>
        </w:rPr>
        <w:t>（一）股东转让未届出资期限的股权，受让人未按期足额缴纳出资的，关于转让人、受让人出资责任的认定，适用公司法第八十八条第一款的规定；</w:t>
      </w:r>
    </w:p>
    <w:p>
      <w:pPr>
        <w:bidi w:val="0"/>
      </w:pPr>
      <w:r>
        <w:rPr>
          <w:rFonts w:hint="eastAsia"/>
        </w:rPr>
        <w:t>（二）有限责任公司的控股股东滥用股东权利，严重损害公司或者其他股东利益，其他股东请求公司按照合理价格收购其股权的，适用公司法第八十九条第三款、第四款的规定；</w:t>
      </w:r>
    </w:p>
    <w:p>
      <w:pPr>
        <w:bidi w:val="0"/>
      </w:pPr>
      <w:r>
        <w:rPr>
          <w:rFonts w:hint="eastAsia"/>
        </w:rPr>
        <w:t>（三）对股份有限公司股东会决议投反对票的股东请求公司按照合理价格收购其股份的</w:t>
      </w:r>
      <w:r>
        <w:rPr>
          <w:rFonts w:hint="eastAsia"/>
          <w:lang w:eastAsia="zh-CN"/>
        </w:rPr>
        <w:t>，</w:t>
      </w:r>
      <w:r>
        <w:rPr>
          <w:rFonts w:hint="eastAsia"/>
        </w:rPr>
        <w:t>适用公司法第一百六十一条的规定；</w:t>
      </w:r>
    </w:p>
    <w:p>
      <w:pPr>
        <w:bidi w:val="0"/>
      </w:pPr>
      <w:r>
        <w:rPr>
          <w:rFonts w:hint="eastAsia"/>
        </w:rPr>
        <w:t>（四）不担任公司董事的控股股东、实际控制人执行公司事务的民事责任认定，适用公司法第一百八十条的规定；</w:t>
      </w:r>
    </w:p>
    <w:p>
      <w:pPr>
        <w:bidi w:val="0"/>
      </w:pPr>
      <w:r>
        <w:rPr>
          <w:rFonts w:hint="eastAsia"/>
        </w:rPr>
        <w:t>（五）公司的控股股东、实际控制人指示董事、高级管理人员从事活动损害公司或者股东利益的民事责任认定，适用公司法第一百九十二条的规定；</w:t>
      </w:r>
    </w:p>
    <w:p>
      <w:pPr>
        <w:bidi w:val="0"/>
      </w:pPr>
      <w:r>
        <w:rPr>
          <w:rFonts w:hint="eastAsia"/>
        </w:rPr>
        <w:t>（六）不明显背离相关当事人合理预期的其他情形。</w:t>
      </w:r>
    </w:p>
    <w:p>
      <w:pPr>
        <w:bidi w:val="0"/>
      </w:pPr>
      <w:r>
        <w:rPr>
          <w:rFonts w:hint="eastAsia" w:eastAsia="黑体"/>
          <w:sz w:val="32"/>
          <w:lang w:eastAsia="zh-CN"/>
        </w:rPr>
        <w:t>第五条　</w:t>
      </w:r>
      <w:r>
        <w:rPr>
          <w:rFonts w:hint="eastAsia"/>
        </w:rPr>
        <w:t>公司法施行前的法律事实引起的民事纠纷案件，当时的法律、司法解释已有原则性规定，公司法作出具体规定的下列情形，适用公司法的规定：</w:t>
      </w:r>
    </w:p>
    <w:p>
      <w:pPr>
        <w:bidi w:val="0"/>
      </w:pPr>
      <w:r>
        <w:rPr>
          <w:rFonts w:hint="eastAsia"/>
        </w:rPr>
        <w:t>（一）股份有限公司章程对股份转让作了限制规定，因该规定发生争议的，适用公司法第一百五十七条的规定；</w:t>
      </w:r>
    </w:p>
    <w:p>
      <w:pPr>
        <w:bidi w:val="0"/>
      </w:pPr>
      <w:r>
        <w:rPr>
          <w:rFonts w:hint="eastAsia"/>
        </w:rPr>
        <w:t>（二）对公司监事实施挪用公司资金等禁止性行为、违法关联交易、不当谋取公司商业机会、经营限制的同类业务的赔偿责任认定，分别适用公司法第一百八十一条、</w:t>
      </w:r>
      <w:r>
        <w:rPr>
          <w:rFonts w:hint="eastAsia" w:ascii="仿宋_GB2312" w:hAnsi="仿宋_GB2312" w:eastAsia="仿宋_GB2312" w:cs="仿宋_GB2312"/>
          <w:sz w:val="32"/>
          <w:lang w:eastAsia="zh-CN"/>
        </w:rPr>
        <w:t>第一百八十二条</w:t>
      </w:r>
      <w:r>
        <w:rPr>
          <w:rFonts w:hint="eastAsia" w:ascii="仿宋_GB2312" w:hAnsi="仿宋_GB2312" w:eastAsia="仿宋_GB2312" w:cs="仿宋_GB2312"/>
        </w:rPr>
        <w:t>第一款、</w:t>
      </w:r>
      <w:r>
        <w:rPr>
          <w:rFonts w:hint="eastAsia" w:ascii="仿宋_GB2312" w:hAnsi="仿宋_GB2312" w:eastAsia="仿宋_GB2312" w:cs="仿宋_GB2312"/>
          <w:sz w:val="32"/>
          <w:lang w:eastAsia="zh-CN"/>
        </w:rPr>
        <w:t>第一百八十三条</w:t>
      </w:r>
      <w:r>
        <w:rPr>
          <w:rFonts w:hint="eastAsia" w:ascii="仿宋_GB2312" w:hAnsi="仿宋_GB2312" w:eastAsia="仿宋_GB2312" w:cs="仿宋_GB2312"/>
        </w:rPr>
        <w:t>、</w:t>
      </w:r>
      <w:r>
        <w:rPr>
          <w:rFonts w:hint="eastAsia" w:ascii="仿宋_GB2312" w:hAnsi="仿宋_GB2312" w:eastAsia="仿宋_GB2312" w:cs="仿宋_GB2312"/>
          <w:sz w:val="32"/>
          <w:lang w:eastAsia="zh-CN"/>
        </w:rPr>
        <w:t>第一百八十四条</w:t>
      </w:r>
      <w:r>
        <w:rPr>
          <w:rFonts w:hint="eastAsia" w:ascii="仿宋_GB2312" w:hAnsi="仿宋_GB2312" w:eastAsia="仿宋_GB2312" w:cs="仿宋_GB2312"/>
        </w:rPr>
        <w:t>的规定</w:t>
      </w:r>
      <w:r>
        <w:rPr>
          <w:rFonts w:hint="eastAsia"/>
        </w:rPr>
        <w:t>；</w:t>
      </w:r>
    </w:p>
    <w:p>
      <w:pPr>
        <w:bidi w:val="0"/>
        <w:rPr>
          <w:rFonts w:hint="eastAsia" w:ascii="仿宋_GB2312" w:hAnsi="仿宋_GB2312" w:eastAsia="仿宋_GB2312" w:cs="仿宋_GB2312"/>
        </w:rPr>
      </w:pPr>
      <w:r>
        <w:rPr>
          <w:rFonts w:hint="eastAsia"/>
        </w:rPr>
        <w:t>（三）对公司董事、高级管理人员不当谋取公司商业机会、经营限制的同类业务的赔偿责任认定，分别适用公司法第一百八十三条、</w:t>
      </w:r>
      <w:r>
        <w:rPr>
          <w:rFonts w:hint="eastAsia" w:ascii="仿宋_GB2312" w:hAnsi="仿宋_GB2312" w:eastAsia="仿宋_GB2312" w:cs="仿宋_GB2312"/>
          <w:sz w:val="32"/>
          <w:lang w:eastAsia="zh-CN"/>
        </w:rPr>
        <w:t>第一百八十四条</w:t>
      </w:r>
      <w:r>
        <w:rPr>
          <w:rFonts w:hint="eastAsia" w:ascii="仿宋_GB2312" w:hAnsi="仿宋_GB2312" w:eastAsia="仿宋_GB2312" w:cs="仿宋_GB2312"/>
        </w:rPr>
        <w:t>的规定；</w:t>
      </w:r>
    </w:p>
    <w:p>
      <w:pPr>
        <w:bidi w:val="0"/>
      </w:pPr>
      <w:r>
        <w:rPr>
          <w:rFonts w:hint="eastAsia" w:ascii="仿宋_GB2312" w:hAnsi="仿宋_GB2312" w:eastAsia="仿宋_GB2312" w:cs="仿宋_GB2312"/>
        </w:rPr>
        <w:t>（四）对关联关系主体范围以及关联交易性质的认定，适用公司法第一百八十二条、</w:t>
      </w:r>
      <w:r>
        <w:rPr>
          <w:rFonts w:hint="eastAsia" w:ascii="仿宋_GB2312" w:hAnsi="仿宋_GB2312" w:eastAsia="仿宋_GB2312" w:cs="仿宋_GB2312"/>
          <w:sz w:val="32"/>
          <w:lang w:eastAsia="zh-CN"/>
        </w:rPr>
        <w:t>第二百六十五条</w:t>
      </w:r>
      <w:r>
        <w:rPr>
          <w:rFonts w:hint="eastAsia" w:ascii="仿宋_GB2312" w:hAnsi="仿宋_GB2312" w:eastAsia="仿宋_GB2312" w:cs="仿宋_GB2312"/>
        </w:rPr>
        <w:t>第四项</w:t>
      </w:r>
      <w:r>
        <w:rPr>
          <w:rFonts w:hint="eastAsia"/>
        </w:rPr>
        <w:t>的规定。</w:t>
      </w:r>
    </w:p>
    <w:p>
      <w:pPr>
        <w:bidi w:val="0"/>
      </w:pPr>
      <w:r>
        <w:rPr>
          <w:rFonts w:hint="eastAsia" w:eastAsia="黑体"/>
          <w:sz w:val="32"/>
          <w:lang w:eastAsia="zh-CN"/>
        </w:rPr>
        <w:t>第六条</w:t>
      </w:r>
      <w:r>
        <w:rPr>
          <w:rFonts w:hint="eastAsia"/>
          <w:lang w:eastAsia="zh-CN"/>
        </w:rPr>
        <w:t>　</w:t>
      </w:r>
      <w:r>
        <w:rPr>
          <w:rFonts w:hint="eastAsia"/>
        </w:rPr>
        <w:t>应当进行清算的法律事实发生在公司法施行前，因清算责任发生争议的，适用当时的法律、司法解释的规定。</w:t>
      </w:r>
    </w:p>
    <w:p>
      <w:pPr>
        <w:bidi w:val="0"/>
      </w:pPr>
      <w:r>
        <w:rPr>
          <w:rFonts w:hint="eastAsia"/>
        </w:rPr>
        <w:t>应当清算的法律事实发生在公司法施行前，但至公司法施行日未满十五日的，适用公司法第二百三十二条的规定，清算义务人履行清算义务的期限自公司法施行日重新起算。</w:t>
      </w:r>
    </w:p>
    <w:p>
      <w:pPr>
        <w:bidi w:val="0"/>
      </w:pPr>
      <w:r>
        <w:rPr>
          <w:rFonts w:hint="eastAsia" w:eastAsia="黑体"/>
          <w:sz w:val="32"/>
          <w:lang w:eastAsia="zh-CN"/>
        </w:rPr>
        <w:t>第七条</w:t>
      </w:r>
      <w:r>
        <w:rPr>
          <w:rFonts w:hint="eastAsia"/>
          <w:lang w:eastAsia="zh-CN"/>
        </w:rPr>
        <w:t>　</w:t>
      </w:r>
      <w:r>
        <w:rPr>
          <w:rFonts w:hint="eastAsia"/>
        </w:rPr>
        <w:t>公司法施行前已经终审的民事纠纷案件，当事人申请再审或者人民法院按照审判监督程序决定再审的，适用当时的法律、司法解释的规定。</w:t>
      </w:r>
    </w:p>
    <w:p>
      <w:pPr>
        <w:bidi w:val="0"/>
        <w:rPr>
          <w:rFonts w:hint="eastAsia"/>
          <w:lang w:val="en-US" w:eastAsia="zh-CN"/>
        </w:rPr>
      </w:pPr>
      <w:r>
        <w:rPr>
          <w:rFonts w:hint="eastAsia" w:eastAsia="黑体"/>
          <w:sz w:val="32"/>
          <w:lang w:eastAsia="zh-CN"/>
        </w:rPr>
        <w:t>第八条</w:t>
      </w:r>
      <w:r>
        <w:rPr>
          <w:rFonts w:hint="eastAsia"/>
          <w:lang w:eastAsia="zh-CN"/>
        </w:rPr>
        <w:t>　</w:t>
      </w:r>
      <w:r>
        <w:rPr>
          <w:rFonts w:hint="eastAsia"/>
        </w:rPr>
        <w:t>本</w:t>
      </w:r>
      <w:bookmarkStart w:id="0" w:name="_GoBack"/>
      <w:bookmarkEnd w:id="0"/>
      <w:r>
        <w:rPr>
          <w:rFonts w:hint="eastAsia"/>
        </w:rPr>
        <w:t>规定自2024年7月1日起施行。</w:t>
      </w:r>
    </w:p>
    <w:sectPr>
      <w:footerReference r:id="rId5" w:type="default"/>
      <w:footerReference r:id="rId6" w:type="even"/>
      <w:pgSz w:w="11906" w:h="16838"/>
      <w:pgMar w:top="2098" w:right="1474" w:bottom="1985" w:left="1588" w:header="851" w:footer="397" w:gutter="0"/>
      <w:lnNumType w:countBy="0"/>
      <w:pgNumType w:fmt="decimal"/>
      <w:cols w:space="720" w:num="1"/>
      <w:docGrid w:type="linesAndChars" w:linePitch="579" w:charSpace="-8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32"/>
      </w:pPr>
      <w:r>
        <w:separator/>
      </w:r>
    </w:p>
  </w:endnote>
  <w:endnote w:type="continuationSeparator" w:id="1">
    <w:p>
      <w:pPr>
        <w:ind w:firstLine="63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wordWrap w:val="0"/>
      <w:jc w:val="right"/>
      <w:rPr>
        <w:rFonts w:eastAsia="宋体"/>
      </w:rPr>
    </w:pPr>
    <w:r>
      <w:rPr>
        <w:sz w:val="32"/>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tabs>
                              <w:tab w:val="center" w:pos="4153"/>
                              <w:tab w:val="right" w:pos="8306"/>
                            </w:tabs>
                            <w:wordWrap w:val="0"/>
                            <w:jc w:val="right"/>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tabs>
                        <w:tab w:val="center" w:pos="4153"/>
                        <w:tab w:val="right" w:pos="8306"/>
                      </w:tabs>
                      <w:wordWrap w:val="0"/>
                      <w:jc w:val="right"/>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jc w:val="left"/>
      <w:rPr>
        <w:rFonts w:ascii="宋体" w:hAnsi="宋体" w:eastAsia="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tabs>
                              <w:tab w:val="center" w:pos="4153"/>
                              <w:tab w:val="right" w:pos="8306"/>
                            </w:tabs>
                            <w:ind w:left="0" w:leftChars="0" w:firstLine="0" w:firstLineChars="0"/>
                            <w:jc w:val="left"/>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tabs>
                        <w:tab w:val="center" w:pos="4153"/>
                        <w:tab w:val="right" w:pos="8306"/>
                      </w:tabs>
                      <w:ind w:left="0" w:leftChars="0" w:firstLine="0" w:firstLineChars="0"/>
                      <w:jc w:val="left"/>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32"/>
      </w:pPr>
      <w:r>
        <w:separator/>
      </w:r>
    </w:p>
  </w:footnote>
  <w:footnote w:type="continuationSeparator" w:id="1">
    <w:p>
      <w:pPr>
        <w:ind w:firstLine="63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080D40AD"/>
    <w:rsid w:val="00005CBA"/>
    <w:rsid w:val="00024AB2"/>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2CA9"/>
    <w:rsid w:val="00F7674E"/>
    <w:rsid w:val="00F97604"/>
    <w:rsid w:val="00FA7EE2"/>
    <w:rsid w:val="00FD0030"/>
    <w:rsid w:val="01B8473A"/>
    <w:rsid w:val="03AC38D7"/>
    <w:rsid w:val="050E300A"/>
    <w:rsid w:val="05500244"/>
    <w:rsid w:val="05EE09DC"/>
    <w:rsid w:val="065A0E1D"/>
    <w:rsid w:val="068E3768"/>
    <w:rsid w:val="071947CE"/>
    <w:rsid w:val="080D40AD"/>
    <w:rsid w:val="0AF66CB9"/>
    <w:rsid w:val="0AFB0486"/>
    <w:rsid w:val="0BA37602"/>
    <w:rsid w:val="0CFB142B"/>
    <w:rsid w:val="0D9804AC"/>
    <w:rsid w:val="0E3C1CFB"/>
    <w:rsid w:val="0EFF2906"/>
    <w:rsid w:val="11E4354D"/>
    <w:rsid w:val="125C6E10"/>
    <w:rsid w:val="14515052"/>
    <w:rsid w:val="14E76398"/>
    <w:rsid w:val="151350A2"/>
    <w:rsid w:val="16DC7373"/>
    <w:rsid w:val="17E51656"/>
    <w:rsid w:val="183C74C7"/>
    <w:rsid w:val="1B8F60DE"/>
    <w:rsid w:val="1D291CFB"/>
    <w:rsid w:val="1D4F618B"/>
    <w:rsid w:val="205E01F7"/>
    <w:rsid w:val="21AA3D09"/>
    <w:rsid w:val="21D74D73"/>
    <w:rsid w:val="220A23E4"/>
    <w:rsid w:val="234806C1"/>
    <w:rsid w:val="25973F8F"/>
    <w:rsid w:val="26EE0409"/>
    <w:rsid w:val="27C34B9E"/>
    <w:rsid w:val="29484637"/>
    <w:rsid w:val="2A2102CB"/>
    <w:rsid w:val="2B3B078B"/>
    <w:rsid w:val="2C1077C7"/>
    <w:rsid w:val="2DF31F7F"/>
    <w:rsid w:val="2E681AF4"/>
    <w:rsid w:val="30282EC9"/>
    <w:rsid w:val="344634A2"/>
    <w:rsid w:val="351F3659"/>
    <w:rsid w:val="3591582E"/>
    <w:rsid w:val="35A26038"/>
    <w:rsid w:val="36DA0180"/>
    <w:rsid w:val="37441DBD"/>
    <w:rsid w:val="378116AE"/>
    <w:rsid w:val="385B52F0"/>
    <w:rsid w:val="38C72FA6"/>
    <w:rsid w:val="3B9A7E9A"/>
    <w:rsid w:val="3DE63740"/>
    <w:rsid w:val="3FEA0D08"/>
    <w:rsid w:val="40302BBE"/>
    <w:rsid w:val="42B2200A"/>
    <w:rsid w:val="42F57D79"/>
    <w:rsid w:val="4499567F"/>
    <w:rsid w:val="44C164DB"/>
    <w:rsid w:val="47C979DB"/>
    <w:rsid w:val="481351D2"/>
    <w:rsid w:val="4860600B"/>
    <w:rsid w:val="50EB007B"/>
    <w:rsid w:val="53543565"/>
    <w:rsid w:val="546D287C"/>
    <w:rsid w:val="557D644E"/>
    <w:rsid w:val="558A062C"/>
    <w:rsid w:val="56345682"/>
    <w:rsid w:val="58C3686E"/>
    <w:rsid w:val="59F36CDF"/>
    <w:rsid w:val="5B9F227D"/>
    <w:rsid w:val="5FD73625"/>
    <w:rsid w:val="61D729C7"/>
    <w:rsid w:val="622F12CF"/>
    <w:rsid w:val="62F51D1A"/>
    <w:rsid w:val="64596ABE"/>
    <w:rsid w:val="653E08AD"/>
    <w:rsid w:val="6B7D6667"/>
    <w:rsid w:val="6D176D30"/>
    <w:rsid w:val="6D695DCB"/>
    <w:rsid w:val="6DA51CA6"/>
    <w:rsid w:val="70822713"/>
    <w:rsid w:val="70A95AA7"/>
    <w:rsid w:val="71B9247E"/>
    <w:rsid w:val="74905ACD"/>
    <w:rsid w:val="74933140"/>
    <w:rsid w:val="79681B1A"/>
    <w:rsid w:val="7A805F15"/>
    <w:rsid w:val="7A861051"/>
    <w:rsid w:val="7C3A702B"/>
    <w:rsid w:val="7C4A4A2C"/>
    <w:rsid w:val="7CE40CE5"/>
    <w:rsid w:val="7D4C0330"/>
    <w:rsid w:val="7EDC56E4"/>
    <w:rsid w:val="7EF639AA"/>
    <w:rsid w:val="7F341F96"/>
    <w:rsid w:val="7F47D4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32" w:firstLineChars="20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qFormat/>
    <w:uiPriority w:val="9"/>
    <w:pPr>
      <w:keepNext/>
      <w:keepLines/>
      <w:numPr>
        <w:ilvl w:val="0"/>
        <w:numId w:val="0"/>
      </w:numPr>
      <w:spacing w:beforeLines="0" w:beforeAutospacing="0" w:afterLines="0" w:afterAutospacing="0" w:line="240" w:lineRule="auto"/>
      <w:ind w:left="0" w:firstLine="0"/>
      <w:jc w:val="center"/>
      <w:outlineLvl w:val="0"/>
    </w:pPr>
    <w:rPr>
      <w:rFonts w:eastAsia="宋体"/>
      <w:kern w:val="44"/>
      <w:sz w:val="44"/>
    </w:rPr>
  </w:style>
  <w:style w:type="paragraph" w:styleId="3">
    <w:name w:val="heading 2"/>
    <w:basedOn w:val="1"/>
    <w:next w:val="1"/>
    <w:unhideWhenUsed/>
    <w:qFormat/>
    <w:uiPriority w:val="9"/>
    <w:pPr>
      <w:keepNext/>
      <w:keepLines/>
      <w:spacing w:beforeLines="0" w:beforeAutospacing="0" w:afterLines="0" w:afterAutospacing="0" w:line="240" w:lineRule="auto"/>
      <w:jc w:val="center"/>
      <w:outlineLvl w:val="1"/>
    </w:pPr>
    <w:rPr>
      <w:rFonts w:ascii="Arial" w:hAnsi="Arial" w:eastAsia="黑体"/>
    </w:rPr>
  </w:style>
  <w:style w:type="paragraph" w:styleId="4">
    <w:name w:val="heading 3"/>
    <w:basedOn w:val="1"/>
    <w:next w:val="1"/>
    <w:unhideWhenUsed/>
    <w:qFormat/>
    <w:uiPriority w:val="9"/>
    <w:pPr>
      <w:keepNext/>
      <w:keepLines/>
      <w:spacing w:line="240" w:lineRule="auto"/>
      <w:jc w:val="center"/>
      <w:outlineLvl w:val="2"/>
    </w:pPr>
    <w:rPr>
      <w:rFonts w:eastAsia="黑体"/>
      <w:bCs/>
      <w:szCs w:val="32"/>
    </w:rPr>
  </w:style>
  <w:style w:type="paragraph" w:styleId="5">
    <w:name w:val="heading 4"/>
    <w:basedOn w:val="1"/>
    <w:next w:val="1"/>
    <w:unhideWhenUsed/>
    <w:qFormat/>
    <w:uiPriority w:val="9"/>
    <w:pPr>
      <w:keepNext/>
      <w:keepLines/>
      <w:spacing w:line="240" w:lineRule="auto"/>
      <w:jc w:val="center"/>
      <w:outlineLvl w:val="3"/>
    </w:pPr>
    <w:rPr>
      <w:rFonts w:ascii="Cambria" w:hAnsi="Cambria" w:eastAsia="宋体" w:cs="Times New Roman"/>
      <w:bCs/>
      <w:sz w:val="32"/>
      <w:szCs w:val="28"/>
    </w:rPr>
  </w:style>
  <w:style w:type="character" w:default="1" w:styleId="11">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6">
    <w:name w:val="Plain Text"/>
    <w:basedOn w:val="1"/>
    <w:qFormat/>
    <w:uiPriority w:val="99"/>
    <w:rPr>
      <w:rFonts w:ascii="宋体" w:hAnsi="Courier New" w:cs="Courier New"/>
      <w:szCs w:val="21"/>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itle"/>
    <w:basedOn w:val="1"/>
    <w:qFormat/>
    <w:uiPriority w:val="10"/>
    <w:pPr>
      <w:spacing w:before="240" w:beforeLines="0" w:beforeAutospacing="0" w:after="60" w:afterLines="0" w:afterAutospacing="0"/>
      <w:jc w:val="center"/>
      <w:outlineLvl w:val="0"/>
    </w:pPr>
    <w:rPr>
      <w:rFonts w:ascii="Arial" w:hAnsi="Arial"/>
      <w:b/>
      <w:sz w:val="32"/>
    </w:rPr>
  </w:style>
  <w:style w:type="character" w:styleId="12">
    <w:name w:val="page number"/>
    <w:basedOn w:val="11"/>
    <w:qFormat/>
    <w:uiPriority w:val="0"/>
  </w:style>
  <w:style w:type="paragraph" w:customStyle="1" w:styleId="13">
    <w:name w:val="ab-法规题注"/>
    <w:basedOn w:val="1"/>
    <w:qFormat/>
    <w:uiPriority w:val="0"/>
    <w:pPr>
      <w:ind w:left="632" w:leftChars="200" w:right="632" w:rightChars="200"/>
    </w:pPr>
    <w:rPr>
      <w:rFonts w:eastAsia="楷体_GB2312"/>
    </w:rPr>
  </w:style>
  <w:style w:type="paragraph" w:customStyle="1" w:styleId="14">
    <w:name w:val="ac-法规目录标题"/>
    <w:basedOn w:val="1"/>
    <w:qFormat/>
    <w:uiPriority w:val="0"/>
    <w:pPr>
      <w:ind w:left="632" w:leftChars="200" w:right="632" w:rightChars="200"/>
      <w:jc w:val="center"/>
    </w:pPr>
    <w:rPr>
      <w:rFonts w:ascii="楷体_GB2312" w:hAnsi="楷体_GB2312" w:eastAsia="楷体_GB2312"/>
    </w:rPr>
  </w:style>
  <w:style w:type="paragraph" w:customStyle="1" w:styleId="15">
    <w:name w:val="ad-法规目录列表章"/>
    <w:basedOn w:val="1"/>
    <w:qFormat/>
    <w:uiPriority w:val="0"/>
    <w:pPr>
      <w:ind w:left="1896" w:leftChars="200" w:right="632" w:rightChars="200" w:hanging="1264" w:hangingChars="400"/>
      <w:jc w:val="left"/>
    </w:pPr>
    <w:rPr>
      <w:rFonts w:ascii="楷体_GB2312" w:hAnsi="楷体_GB2312" w:eastAsia="楷体_GB2312"/>
    </w:rPr>
  </w:style>
  <w:style w:type="paragraph" w:customStyle="1" w:styleId="16">
    <w:name w:val="af-法规空行"/>
    <w:basedOn w:val="1"/>
    <w:next w:val="1"/>
    <w:qFormat/>
    <w:uiPriority w:val="0"/>
    <w:pPr>
      <w:ind w:firstLine="0" w:firstLineChars="0"/>
    </w:pPr>
    <w:rPr>
      <w:rFonts w:hint="eastAsia" w:ascii="Times New Roman" w:hAnsi="Times New Roman" w:eastAsia="宋体"/>
    </w:rPr>
  </w:style>
  <w:style w:type="paragraph" w:customStyle="1" w:styleId="17">
    <w:name w:val="ae-法规目录列表节"/>
    <w:basedOn w:val="1"/>
    <w:qFormat/>
    <w:uiPriority w:val="0"/>
    <w:pPr>
      <w:ind w:left="2528" w:leftChars="400" w:right="1264" w:rightChars="400" w:hanging="1264" w:hangingChars="400"/>
      <w:jc w:val="left"/>
    </w:pPr>
    <w:rPr>
      <w:rFonts w:ascii="楷体_GB2312" w:hAnsi="楷体_GB2312" w:eastAsia="楷体_GB231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968;&#23383;&#37096;2020-2022\&#20854;&#20182;&#24037;&#20316;\2024&#30003;&#35831;&#27861;&#35268;&#24211;&#39033;&#30446;\&#27169;&#26495;\&#27861;&#35268;&#25991;&#26412;&#27169;&#26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