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SCI Submission Workflow and File Checklist</w:t>
      </w:r>
    </w:p>
    <w:p>
      <w:pPr>
        <w:jc w:val="center"/>
      </w:pPr>
      <w:r>
        <w:rPr>
          <w:i/>
          <w:color w:val="595959"/>
          <w:sz w:val="22"/>
        </w:rPr>
        <w:t>Final 15 CXR manuscript package</w:t>
      </w:r>
    </w:p>
    <w:p>
      <w:pPr>
        <w:jc w:val="center"/>
      </w:pPr>
      <w:r>
        <w:rPr>
          <w:color w:val="595959"/>
          <w:sz w:val="17"/>
        </w:rPr>
        <w:t>Generated on 2026-06-14 from local QA audit: C:\Users\ETHAN\cxr_nih_to_vindr_github\outputs_large\submission_file_audit_final15.csv</w:t>
      </w:r>
    </w:p>
    <w:p>
      <w:pPr>
        <w:pStyle w:val="Heading1"/>
      </w:pPr>
      <w:r>
        <w:t>1. Current Package Status</w:t>
      </w:r>
    </w:p>
    <w:p>
      <w:pPr>
        <w:pStyle w:val="ListBullet"/>
        <w:spacing w:after="60"/>
      </w:pPr>
      <w:r>
        <w:t>QA result: 78 checked items passed; no current FAIL/WARN after repair.</w:t>
      </w:r>
    </w:p>
    <w:p>
      <w:pPr>
        <w:pStyle w:val="ListBullet"/>
        <w:spacing w:after="60"/>
      </w:pPr>
      <w:r>
        <w:t>Fixed in this pass: reference count changed from 26 to 27 in the manuscript/package; stale repository-link placeholder removed; src/make_tables.py and src/make_figures.py added.</w:t>
      </w:r>
    </w:p>
    <w:p>
      <w:pPr>
        <w:pStyle w:val="ListBullet"/>
        <w:spacing w:after="60"/>
      </w:pPr>
      <w:r>
        <w:t>Remaining placeholders are administrative fields that require author/journal input, not generated scientific results.</w:t>
      </w:r>
    </w:p>
    <w:p>
      <w:pPr>
        <w:pStyle w:val="Heading1"/>
      </w:pPr>
      <w:r>
        <w:t>2. Stable Repository and Archive Links</w:t>
      </w:r>
    </w:p>
    <w:p>
      <w:pPr>
        <w:spacing w:after="60"/>
      </w:pPr>
      <w:r>
        <w:rPr>
          <w:b/>
        </w:rPr>
        <w:t xml:space="preserve">GitHub repository: </w:t>
      </w:r>
      <w:r>
        <w:rPr>
          <w:color w:val="0066CC"/>
          <w:u w:val="single"/>
        </w:rPr>
        <w:t>https://github.com/a1553189184-stack/SCI</w:t>
      </w:r>
      <w:r>
        <w:t xml:space="preserve"> (https://github.com/a1553189184-stack/SCI)</w:t>
      </w:r>
    </w:p>
    <w:p>
      <w:pPr>
        <w:spacing w:after="60"/>
      </w:pPr>
      <w:r>
        <w:rPr>
          <w:b/>
        </w:rPr>
        <w:t xml:space="preserve">GitHub release: </w:t>
      </w:r>
      <w:r>
        <w:rPr>
          <w:color w:val="0066CC"/>
          <w:u w:val="single"/>
        </w:rPr>
        <w:t>https://github.com/a1553189184-stack/SCI/releases/tag/v1.0-reviewer-package</w:t>
      </w:r>
      <w:r>
        <w:t xml:space="preserve"> (https://github.com/a1553189184-stack/SCI/releases/tag/v1.0-reviewer-package)</w:t>
      </w:r>
    </w:p>
    <w:p>
      <w:pPr>
        <w:spacing w:after="60"/>
      </w:pPr>
      <w:r>
        <w:rPr>
          <w:b/>
        </w:rPr>
        <w:t xml:space="preserve">Zenodo DOI: </w:t>
      </w:r>
      <w:r>
        <w:rPr>
          <w:color w:val="0066CC"/>
          <w:u w:val="single"/>
        </w:rPr>
        <w:t>https://doi.org/10.5281/zenodo.20688290</w:t>
      </w:r>
      <w:r>
        <w:t xml:space="preserve"> (https://doi.org/10.5281/zenodo.20688290)</w:t>
      </w:r>
    </w:p>
    <w:p>
      <w:pPr>
        <w:pStyle w:val="Heading1"/>
      </w:pPr>
      <w:r>
        <w:t>3. Detailed SCI Submission Workflow</w:t>
      </w:r>
    </w:p>
    <w:p>
      <w:pPr>
        <w:spacing w:before="80" w:after="120"/>
      </w:pPr>
      <w:r>
        <w:rPr>
          <w:i/>
          <w:color w:val="595959"/>
          <w:sz w:val="18"/>
        </w:rPr>
        <w:t>Assumption: target is a medical imaging / radiology AI / biomedical informatics SCI journal. Target-journal instructions override this generic workflow.</w:t>
      </w:r>
    </w:p>
    <w:p>
      <w:pPr>
        <w:pStyle w:val="ListNumber"/>
        <w:spacing w:after="80"/>
      </w:pPr>
      <w:r>
        <w:t>Select the target journal and confirm scope, article type, word limit, abstract structure, figure rules, supplementary policy, reporting-guideline requirements, publication fees, and double-blind policy.</w:t>
      </w:r>
    </w:p>
    <w:p>
      <w:pPr>
        <w:pStyle w:val="ListNumber"/>
        <w:spacing w:after="80"/>
      </w:pPr>
      <w:r>
        <w:t>Create a journal-specific working copy of the main manuscript. Keep the current public-subset positioning and avoid changing reported numbers unless regenerated from CSV outputs.</w:t>
      </w:r>
    </w:p>
    <w:p>
      <w:pPr>
        <w:pStyle w:val="ListNumber"/>
        <w:spacing w:after="80"/>
      </w:pPr>
      <w:r>
        <w:t>Fill administrative fields on the title page and cover letter: authors, affiliations, corresponding author, email, ORCID, date, editor, and journal name.</w:t>
      </w:r>
    </w:p>
    <w:p>
      <w:pPr>
        <w:pStyle w:val="ListNumber"/>
        <w:spacing w:after="80"/>
      </w:pPr>
      <w:r>
        <w:t>Confirm ethics wording. Because the work uses de-identified public datasets, retain the exemption/waiver framing, but insert the local IRB exemption number only if your institution requires it.</w:t>
      </w:r>
    </w:p>
    <w:p>
      <w:pPr>
        <w:pStyle w:val="ListNumber"/>
        <w:spacing w:after="80"/>
      </w:pPr>
      <w:r>
        <w:t>Format the main manuscript according to the target journal: title page, abstract style, references, table/figure placement, line numbering, double spacing, and blinded/unblinded requirements.</w:t>
      </w:r>
    </w:p>
    <w:p>
      <w:pPr>
        <w:pStyle w:val="ListNumber"/>
        <w:spacing w:after="80"/>
      </w:pPr>
      <w:r>
        <w:t>Prepare separate figure uploads from the TIFF folder. Use PNG/PDF only if the journal prefers them. Confirm every figure number and caption matches the manuscript.</w:t>
      </w:r>
    </w:p>
    <w:p>
      <w:pPr>
        <w:pStyle w:val="ListNumber"/>
        <w:spacing w:after="80"/>
      </w:pPr>
      <w:r>
        <w:t>Prepare supplementary material. Upload the supplementary organization DOCX, selected CSV source data, reporting checklist, or reviewer package only if the journal allows or asks for them.</w:t>
      </w:r>
    </w:p>
    <w:p>
      <w:pPr>
        <w:pStyle w:val="ListNumber"/>
        <w:spacing w:after="80"/>
      </w:pPr>
      <w:r>
        <w:t>Use the Data and Code Availability statement already inserted in the manuscript. Cite the public GitHub repository, GitHub release, and Zenodo DOI exactly as listed.</w:t>
      </w:r>
    </w:p>
    <w:p>
      <w:pPr>
        <w:pStyle w:val="ListNumber"/>
        <w:spacing w:after="80"/>
      </w:pPr>
      <w:r>
        <w:t>Complete reporting-guideline checks. For this study type, TRIPOD+AI/EQUATOR AI guidance is the closest reporting framework; STARD-AI may be relevant only if the target journal frames the study as diagnostic-accuracy reporting.</w:t>
      </w:r>
    </w:p>
    <w:p>
      <w:pPr>
        <w:pStyle w:val="ListNumber"/>
        <w:spacing w:after="80"/>
      </w:pPr>
      <w:r>
        <w:t>Upload files in the submission system, enter title/abstract/keywords/funding/conflict-of-interest fields, add suggested reviewers if requested, and confirm that no external validation tuning claim is overstated.</w:t>
      </w:r>
    </w:p>
    <w:p>
      <w:pPr>
        <w:pStyle w:val="ListNumber"/>
        <w:spacing w:after="80"/>
      </w:pPr>
      <w:r>
        <w:t>Review the system-generated PDF proof page by page before final submission. Check author fields, links, figures, tables, and line breaks.</w:t>
      </w:r>
    </w:p>
    <w:p>
      <w:pPr>
        <w:pStyle w:val="ListNumber"/>
        <w:spacing w:after="80"/>
      </w:pPr>
      <w:r>
        <w:t>Submit, save the confirmation email/PDF, and record manuscript ID, journal, date, uploaded file versions, and any portal warnings.</w:t>
      </w:r>
    </w:p>
    <w:p>
      <w:pPr>
        <w:pStyle w:val="Heading1"/>
      </w:pPr>
      <w:r>
        <w:t>4. Manual Fields Still Required Before Upload</w:t>
      </w:r>
    </w:p>
    <w:p>
      <w:pPr>
        <w:pStyle w:val="ListBullet"/>
        <w:spacing w:after="60"/>
      </w:pPr>
      <w:r>
        <w:t>Target journal, article type, editor name, and submission system account.</w:t>
      </w:r>
    </w:p>
    <w:p>
      <w:pPr>
        <w:pStyle w:val="ListBullet"/>
        <w:spacing w:after="60"/>
      </w:pPr>
      <w:r>
        <w:t>Author names, affiliations, corresponding author, email, ORCID, contribution statement if required.</w:t>
      </w:r>
    </w:p>
    <w:p>
      <w:pPr>
        <w:pStyle w:val="ListBullet"/>
        <w:spacing w:after="60"/>
      </w:pPr>
      <w:r>
        <w:t>Final manuscript word count according to target-journal counting rules.</w:t>
      </w:r>
    </w:p>
    <w:p>
      <w:pPr>
        <w:pStyle w:val="ListBullet"/>
        <w:spacing w:after="60"/>
      </w:pPr>
      <w:r>
        <w:t>Local IRB exemption/waiver wording and approval number if your institution requires one.</w:t>
      </w:r>
    </w:p>
    <w:p>
      <w:pPr>
        <w:pStyle w:val="ListBullet"/>
        <w:spacing w:after="60"/>
      </w:pPr>
      <w:r>
        <w:t>Final conflict-of-interest, funding, acknowledgments, and AI-use declarations.</w:t>
      </w:r>
    </w:p>
    <w:p>
      <w:pPr>
        <w:pStyle w:val="ListBullet"/>
        <w:spacing w:after="60"/>
      </w:pPr>
      <w:r>
        <w:t>Reference style conversion, DOI/volume/issue/page verification, and journal abbreviation format.</w:t>
      </w:r>
    </w:p>
    <w:p>
      <w:pPr>
        <w:pStyle w:val="ListBullet"/>
        <w:spacing w:after="60"/>
      </w:pPr>
      <w:r>
        <w:t>Journal-specific data/code availability form wording if the platform has a separate field.</w:t>
      </w:r>
    </w:p>
    <w:p>
      <w:pPr>
        <w:pStyle w:val="Heading1"/>
      </w:pPr>
      <w:r>
        <w:t>5. Files To Upload First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/>
        </w:trPr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Upload role</w:t>
            </w:r>
          </w:p>
        </w:tc>
        <w:tc>
          <w:tcPr>
            <w:tcW w:type="dxa" w:w="691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Exact local path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Main manuscript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C:\Users\ETHAN\Desktop\CXR_Manuscript_SCI_Submission_Final_15.docx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Cover letter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C:\Users\ETHAN\Desktop\CXR_Cover_Letter_Final_15.docx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Separate figure files, preferably TIFF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C:\Users\ETHAN\cxr_nih_to_vindr_github\figures_large\final15_tiff_300dpi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Supplementary materials organization file, if journal accepts supplement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C:\Users\ETHAN\Desktop\CXR_Supplementary_Materials_Organization_Final_15.docx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i/>
          <w:color w:val="595959"/>
          <w:sz w:val="18"/>
        </w:rPr>
        <w:t>The model-checkpoint ZIP and full source ZIP are primarily repository/release/Zenodo assets. Upload them to the journal only if the system provides a data/code supplement field or the editor requests them.</w:t>
      </w:r>
    </w:p>
    <w:p>
      <w:pPr>
        <w:pStyle w:val="Heading1"/>
      </w:pPr>
      <w:r>
        <w:t>6. Complete Local File Inventory</w:t>
      </w:r>
    </w:p>
    <w:p>
      <w:pPr>
        <w:spacing w:before="80" w:after="120"/>
      </w:pPr>
      <w:r>
        <w:rPr>
          <w:i/>
          <w:color w:val="595959"/>
          <w:sz w:val="18"/>
        </w:rPr>
        <w:t>Status is from the programmatic audit saved at outputs_large/submission_file_audit_final15.csv. Paths are absolute local paths on this computer.</w:t>
      </w:r>
    </w:p>
    <w:p>
      <w:pPr>
        <w:pStyle w:val="Heading2"/>
      </w:pPr>
      <w:r>
        <w:t>Manuscript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Role/file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Location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Main manuscript DOCX for journal upload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Submit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C:\Users\ETHAN\Desktop\CXR_Manuscript_SCI_Submission_Final_15.docx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Cover letter DOCX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Submit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C:\Users\ETHAN\Desktop\CXR_Cover_Letter_Final_15.docx</w:t>
            </w:r>
          </w:p>
        </w:tc>
      </w:tr>
    </w:tbl>
    <w:p>
      <w:pPr>
        <w:spacing w:after="40"/>
      </w:pPr>
    </w:p>
    <w:p>
      <w:pPr>
        <w:pStyle w:val="Heading2"/>
      </w:pPr>
      <w:r>
        <w:t>Supplement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Role/file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Location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Supplementary materials organization DOCX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Submit if requested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C:\Users\ETHAN\Desktop\CXR_Supplementary_Materials_Organization_Final_15.docx</w:t>
            </w:r>
          </w:p>
        </w:tc>
      </w:tr>
    </w:tbl>
    <w:p>
      <w:pPr>
        <w:spacing w:after="40"/>
      </w:pPr>
    </w:p>
    <w:p>
      <w:pPr>
        <w:pStyle w:val="Heading2"/>
      </w:pPr>
      <w:r>
        <w:t>Internal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Role/file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Location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Combined final submission package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 not submit unless journal allows combined package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C:\Users\ETHAN\Desktop\CXR_Final_Submission_Package_15.docx</w:t>
            </w:r>
          </w:p>
        </w:tc>
      </w:tr>
    </w:tbl>
    <w:p>
      <w:pPr>
        <w:spacing w:after="40"/>
      </w:pPr>
    </w:p>
    <w:p>
      <w:pPr>
        <w:pStyle w:val="Heading2"/>
      </w:pPr>
      <w:r>
        <w:t>Archive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Role/file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Location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Reviewer source package ZIP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Repository/release/Zenodo asset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C:\Users\ETHAN\Desktop\CXR_reviewer_source_package_v1.0-reviewer-package.zip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Model checkpoint ZIP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Release/Zenodo asset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C:\Users\ETHAN\Desktop\CXR_model_checkpoints_v1.0-reviewer-package.zip</w:t>
            </w:r>
          </w:p>
        </w:tc>
      </w:tr>
    </w:tbl>
    <w:p>
      <w:pPr>
        <w:spacing w:after="40"/>
      </w:pPr>
    </w:p>
    <w:p>
      <w:pPr>
        <w:pStyle w:val="Heading2"/>
      </w:pPr>
      <w:r>
        <w:t>Figures TIFF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Role/file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Location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figure1_study_workflow_three_models.tiff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Preferred separate figure upload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C:\Users\ETHAN\cxr_nih_to_vindr_github\figures_large\final15_tiff_300dpi\figure1_study_workflow_three_models.tiff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figure2_densenet121_internal_external_ci.tiff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Preferred separate figure upload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C:\Users\ETHAN\cxr_nih_to_vindr_github\figures_large\final15_tiff_300dpi\figure2_densenet121_internal_external_ci.tiff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figure3_prevalence_auprc_baseline_lift.tiff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Preferred separate figure upload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C:\Users\ETHAN\cxr_nih_to_vindr_github\figures_large\final15_tiff_300dpi\figure3_prevalence_auprc_baseline_lift.tiff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figure4_calibration_curves_upgraded.tiff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Preferred separate figure upload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C:\Users\ETHAN\cxr_nih_to_vindr_github\figures_large\final15_tiff_300dpi\figure4_calibration_curves_upgraded.tiff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figure5_gradcam_failure_modes_upgraded.tiff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Preferred separate figure upload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C:\Users\ETHAN\cxr_nih_to_vindr_github\figures_large\final15_tiff_300dpi\figure5_gradcam_failure_modes_upgraded.tiff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figure6_internal_minus_external_auroc.tiff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Preferred separate figure upload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C:\Users\ETHAN\cxr_nih_to_vindr_github\figures_large\final15_tiff_300dpi\figure6_internal_minus_external_auroc.tiff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graphical_abstract_plan_final15.tiff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Preferred separate figure upload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C:\Users\ETHAN\cxr_nih_to_vindr_github\figures_large\final15_tiff_300dpi\graphical_abstract_plan_final15.tiff</w:t>
            </w:r>
          </w:p>
        </w:tc>
      </w:tr>
    </w:tbl>
    <w:p>
      <w:pPr>
        <w:spacing w:after="40"/>
      </w:pPr>
    </w:p>
    <w:p>
      <w:pPr>
        <w:pStyle w:val="Heading2"/>
      </w:pPr>
      <w:r>
        <w:t>Figures PNG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Role/file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Location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figure1_study_workflow_three_models.png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Submit if PNG accepted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C:\Users\ETHAN\cxr_nih_to_vindr_github\figures_large\figure1_study_workflow_three_models.png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figure2_densenet121_internal_external_ci.png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Submit if PNG accepted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C:\Users\ETHAN\cxr_nih_to_vindr_github\figures_large\figure2_densenet121_internal_external_ci.png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figure3_prevalence_auprc_baseline_lift.png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Submit if PNG accepted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C:\Users\ETHAN\cxr_nih_to_vindr_github\figures_large\figure3_prevalence_auprc_baseline_lift.png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figure4_calibration_curves_upgraded.png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Submit if PNG accepted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C:\Users\ETHAN\cxr_nih_to_vindr_github\figures_large\figure4_calibration_curves_upgraded.png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figure5_gradcam_failure_modes_upgraded.png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Submit if PNG accepted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C:\Users\ETHAN\cxr_nih_to_vindr_github\figures_large\figure5_gradcam_failure_modes_upgraded.png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figure6_internal_minus_external_auroc.png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Submit if PNG accepted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C:\Users\ETHAN\cxr_nih_to_vindr_github\figures_large\figure6_internal_minus_external_auroc.png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graphical_abstract_plan_final15.png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Submit if PNG accepted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C:\Users\ETHAN\cxr_nih_to_vindr_github\figures_large\graphical_abstract_plan_final15.png</w:t>
            </w:r>
          </w:p>
        </w:tc>
      </w:tr>
    </w:tbl>
    <w:p>
      <w:pPr>
        <w:spacing w:after="40"/>
      </w:pPr>
    </w:p>
    <w:p>
      <w:pPr>
        <w:pStyle w:val="Heading2"/>
      </w:pPr>
      <w:r>
        <w:t>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Role/file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Location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table1_dataset_characteristics_main_final15.csv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data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C:\Users\ETHAN\cxr_nih_to_vindr_github\tables_large\table1_dataset_characteristics_main_final15.csv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table2_external_evaluable_labels_main_final15.csv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data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C:\Users\ETHAN\cxr_nih_to_vindr_github\tables_large\table2_external_evaluable_labels_main_final15.csv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table3_densenet121_main_performance_final15.csv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data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C:\Users\ETHAN\cxr_nih_to_vindr_github\tables_large\table3_densenet121_main_performance_final15.csv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table4_architecture_macro_main_final15.csv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data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C:\Users\ETHAN\cxr_nih_to_vindr_github\tables_large\table4_architecture_macro_main_final15.csv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table5_calibration_transfer_main_final15.csv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data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C:\Users\ETHAN\cxr_nih_to_vindr_github\tables_large\table5_calibration_transfer_main_final15.csv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supplementary_table7_hyperparameters.csv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data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C:\Users\ETHAN\cxr_nih_to_vindr_github\tables_large\supplementary_table7_hyperparameters.csv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supplementary_table9_medmnist_pipeline_verification.csv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data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C:\Users\ETHAN\cxr_nih_to_vindr_github\tables_large\supplementary_table9_medmnist_pipeline_verification.csv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internal_metrics.csv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data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C:\Users\ETHAN\cxr_nih_to_vindr_github\tables_large\internal_metrics.csv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external_metrics.csv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data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C:\Users\ETHAN\cxr_nih_to_vindr_github\tables_large\external_metrics.csv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calibration_metrics.csv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data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C:\Users\ETHAN\cxr_nih_to_vindr_github\tables_large\calibration_metrics.csv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performance_drop.csv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data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C:\Users\ETHAN\cxr_nih_to_vindr_github\tables_large\performance_drop.csv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thresholds_from_val.csv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data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C:\Users\ETHAN\cxr_nih_to_vindr_github\tables_large\thresholds_from_val.csv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bootstrap_ci.csv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data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C:\Users\ETHAN\cxr_nih_to_vindr_github\tables_large\bootstrap_ci.csv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final_submission_checklist_final15.csv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data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C:\Users\ETHAN\cxr_nih_to_vindr_github\tables_large\final_submission_checklist_final15.csv</w:t>
            </w:r>
          </w:p>
        </w:tc>
      </w:tr>
    </w:tbl>
    <w:p>
      <w:pPr>
        <w:spacing w:after="40"/>
      </w:pPr>
    </w:p>
    <w:p>
      <w:pPr>
        <w:pStyle w:val="Heading2"/>
      </w:pPr>
      <w:r>
        <w:t>Predictions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Role/file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Location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internal_test_predictions.csv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package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C:\Users\ETHAN\cxr_nih_to_vindr_github\predictions_large\internal_test_predictions.csv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external_vindr_predictions.csv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package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C:\Users\ETHAN\cxr_nih_to_vindr_github\predictions_large\external_vindr_predictions.csv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nih_validation_predictions.csv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package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C:\Users\ETHAN\cxr_nih_to_vindr_github\predictions_large\nih_validation_predictions.csv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nih_calibration_predictions.csv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package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C:\Users\ETHAN\cxr_nih_to_vindr_github\predictions_large\nih_calibration_predictions.csv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resnet50_internal_test_predictions.csv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package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C:\Users\ETHAN\cxr_nih_to_vindr_github\predictions_large\resnet50_internal_test_predictions.csv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resnet50_external_vindr_predictions.csv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package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C:\Users\ETHAN\cxr_nih_to_vindr_github\predictions_large\resnet50_external_vindr_predictions.csv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efficientnet_b0_internal_test_predictions.csv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package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C:\Users\ETHAN\cxr_nih_to_vindr_github\predictions_large\efficientnet_b0_internal_test_predictions.csv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efficientnet_b0_external_vindr_predictions.csv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Repository/source package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C:\Users\ETHAN\cxr_nih_to_vindr_github\predictions_large\efficientnet_b0_external_vindr_predictions.csv</w:t>
            </w:r>
          </w:p>
        </w:tc>
      </w:tr>
    </w:tbl>
    <w:p>
      <w:pPr>
        <w:spacing w:after="40"/>
      </w:pPr>
    </w:p>
    <w:p>
      <w:pPr>
        <w:pStyle w:val="Heading2"/>
      </w:pPr>
      <w:r>
        <w:t>Splits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Role/file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Location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hf_large_nih_train.csv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C:\Users\ETHAN\cxr_nih_to_vindr_github\splits_large\hf_large_nih_train.csv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hf_large_nih_validation.csv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C:\Users\ETHAN\cxr_nih_to_vindr_github\splits_large\hf_large_nih_validation.csv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hf_large_nih_calibration.csv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C:\Users\ETHAN\cxr_nih_to_vindr_github\splits_large\hf_large_nih_calibration.csv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hf_large_nih_internal_test.csv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C:\Users\ETHAN\cxr_nih_to_vindr_github\splits_large\hf_large_nih_internal_test.csv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hf_large_nih_all_splits.csv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C:\Users\ETHAN\cxr_nih_to_vindr_github\splits_large\hf_large_nih_all_splits.csv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hf_large_nih_split_statistics.csv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C:\Users\ETHAN\cxr_nih_to_vindr_github\splits_large\hf_large_nih_split_statistics.csv</w:t>
            </w:r>
          </w:p>
        </w:tc>
      </w:tr>
    </w:tbl>
    <w:p>
      <w:pPr>
        <w:spacing w:after="40"/>
      </w:pPr>
    </w:p>
    <w:p>
      <w:pPr>
        <w:pStyle w:val="Heading2"/>
      </w:pPr>
      <w:r>
        <w:t>Source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Role/file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Location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src/datasets.py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C:\Users\ETHAN\cxr_nih_to_vindr_github\src\datasets.py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src/models.py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C:\Users\ETHAN\cxr_nih_to_vindr_github\src\models.py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src/train.py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C:\Users\ETHAN\cxr_nih_to_vindr_github\src\train.py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src/evaluate_internal.py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C:\Users\ETHAN\cxr_nih_to_vindr_github\src\evaluate_internal.py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src/evaluate_external.py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C:\Users\ETHAN\cxr_nih_to_vindr_github\src\evaluate_external.py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src/calibration.py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C:\Users\ETHAN\cxr_nih_to_vindr_github\src\calibration.py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src/gradcam.py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C:\Users\ETHAN\cxr_nih_to_vindr_github\src\gradcam.py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src/make_tables.py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C:\Users\ETHAN\cxr_nih_to_vindr_github\src\make_tables.py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src/make_figures.py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C:\Users\ETHAN\cxr_nih_to_vindr_github\src\make_figures.py</w:t>
            </w:r>
          </w:p>
        </w:tc>
      </w:tr>
    </w:tbl>
    <w:p>
      <w:pPr>
        <w:spacing w:after="40"/>
      </w:pPr>
    </w:p>
    <w:p>
      <w:pPr>
        <w:pStyle w:val="Heading2"/>
      </w:pPr>
      <w:r>
        <w:t>Reproducibility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Role/file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Location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environment/requirements.txt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C:\Users\ETHAN\cxr_nih_to_vindr_github\environment\requirements.txt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environment/create_env_commands.txt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C:\Users\ETHAN\cxr_nih_to_vindr_github\environment\create_env_commands.txt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configs/hf_large.yaml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C:\Users\ETHAN\cxr_nih_to_vindr_github\configs\hf_large.yaml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configs/hf_large_resnet50.yaml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C:\Users\ETHAN\cxr_nih_to_vindr_github\configs\hf_large_resnet50.yaml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configs/hf_large_efficientnet_b0.yaml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C:\Users\ETHAN\cxr_nih_to_vindr_github\configs\hf_large_efficientnet_b0.yaml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configs/label_map.yaml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C:\Users\ETHAN\cxr_nih_to_vindr_github\configs\label_map.yaml</w:t>
            </w:r>
          </w:p>
        </w:tc>
      </w:tr>
    </w:tbl>
    <w:p>
      <w:pPr>
        <w:spacing w:after="40"/>
      </w:pPr>
    </w:p>
    <w:p>
      <w:pPr>
        <w:pStyle w:val="Heading2"/>
      </w:pPr>
      <w:r>
        <w:t>Repository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Role/file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Location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 landing page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C:\Users\ETHAN\cxr_nih_to_vindr_github\README.md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Data/code availability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C:\Users\ETHAN\cxr_nih_to_vindr_github\DATA_AND_CODE_AVAILABILITY.md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Raw data reconstruction guide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C:\Users\ETHAN\cxr_nih_to_vindr_github\DATA_ACCESS_AND_RECONSTRUCTION.md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Reviewer checklist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C:\Users\ETHAN\cxr_nih_to_vindr_github\REVIEWER_REPRODUCIBILITY_CHECKLIST.md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Reporting checklist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C:\Users\ETHAN\cxr_nih_to_vindr_github\REPORTING_CHECKLIST_TRIPOD_AI_CLAIM.md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Citation metadata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C:\Users\ETHAN\cxr_nih_to_vindr_github\CITATION.cff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Zenodo metadata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C:\Users\ETHAN\cxr_nih_to_vindr_github\.zenodo.json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Zenodo summary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C:\Users\ETHAN\cxr_nih_to_vindr_github\ZENODO_RECORD_SUMMARY.md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Release plan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C:\Users\ETHAN\cxr_nih_to_vindr_github\RELEASE_AND_CHECKPOINT_PLAN.md</w:t>
            </w:r>
          </w:p>
        </w:tc>
      </w:tr>
    </w:tbl>
    <w:p>
      <w:pPr>
        <w:spacing w:after="40"/>
      </w:pPr>
    </w:p>
    <w:p>
      <w:pPr>
        <w:pStyle w:val="Heading2"/>
      </w:pPr>
      <w:r>
        <w:t>Release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Role/file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Location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CHECKPOINT_MANIFEST_v1.0-reviewer-package.csv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Release/Zenodo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C:\Users\ETHAN\cxr_nih_to_vindr_github\release_assets\CHECKPOINT_MANIFEST_v1.0-reviewer-package.csv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RELEASE_ASSET_MANIFEST_v1.0-reviewer-package.csv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Release/Zenodo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C:\Users\ETHAN\cxr_nih_to_vindr_github\release_assets\RELEASE_ASSET_MANIFEST_v1.0-reviewer-package.csv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SHA256SUMS_checkpoints_v1.0-reviewer-package.txt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Release/Zenodo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C:\Users\ETHAN\cxr_nih_to_vindr_github\release_assets\SHA256SUMS_checkpoints_v1.0-reviewer-package.txt</w:t>
            </w:r>
          </w:p>
        </w:tc>
      </w:tr>
    </w:tbl>
    <w:p>
      <w:pPr>
        <w:spacing w:after="40"/>
      </w:pPr>
    </w:p>
    <w:p>
      <w:pPr>
        <w:pStyle w:val="Heading2"/>
      </w:pPr>
      <w:r>
        <w:t>Online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/>
        </w:trP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Role/file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Location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GitHub repository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Cite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https://github.com/a1553189184-stack/SCI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GitHub release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Cite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https://github.com/a1553189184-stack/SCI/releases/tag/v1.0-reviewer-package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Zenodo DOI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Cite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https://doi.org/10.5281/zenodo.20688290</w:t>
            </w:r>
          </w:p>
        </w:tc>
      </w:tr>
    </w:tbl>
    <w:p>
      <w:pPr>
        <w:spacing w:after="40"/>
      </w:pPr>
    </w:p>
    <w:p>
      <w:pPr>
        <w:pStyle w:val="Heading1"/>
      </w:pPr>
      <w:r>
        <w:t>7. Reviewer-Risk Audit</w:t>
      </w:r>
    </w:p>
    <w:p>
      <w:pPr>
        <w:pStyle w:val="ListBullet"/>
        <w:spacing w:after="60"/>
      </w:pPr>
      <w:r>
        <w:t>Data leakage: patient-level NIH splits are available; thresholds and checkpoint selection derive from NIH validation, not external VinDr.</w:t>
      </w:r>
    </w:p>
    <w:p>
      <w:pPr>
        <w:pStyle w:val="ListBullet"/>
        <w:spacing w:after="60"/>
      </w:pPr>
      <w:r>
        <w:t>External validation: VinDr-CXR is used as independent external validation and is not used for retraining, threshold tuning, model selection, or main calibration fitting.</w:t>
      </w:r>
    </w:p>
    <w:p>
      <w:pPr>
        <w:pStyle w:val="ListBullet"/>
        <w:spacing w:after="60"/>
      </w:pPr>
      <w:r>
        <w:t>Calibration: calibration models are fitted on the NIH calibration split; VinDr calibration results are transfer evaluation only.</w:t>
      </w:r>
    </w:p>
    <w:p>
      <w:pPr>
        <w:pStyle w:val="ListBullet"/>
        <w:spacing w:after="60"/>
      </w:pPr>
      <w:r>
        <w:t>MedMNIST: retained only as supplementary pipeline verification, not evidence for the main claims.</w:t>
      </w:r>
    </w:p>
    <w:p>
      <w:pPr>
        <w:pStyle w:val="ListBullet"/>
        <w:spacing w:after="60"/>
      </w:pPr>
      <w:r>
        <w:t>Grad-CAM: presented as qualitative failure-mode analysis, not clinical proof of reasoning.</w:t>
      </w:r>
    </w:p>
    <w:p>
      <w:pPr>
        <w:pStyle w:val="ListBullet"/>
        <w:spacing w:after="60"/>
      </w:pPr>
      <w:r>
        <w:t>Clinical claims: manuscript wording states public-subset reproducibility/generalizability limits and does not claim clinical readiness.</w:t>
      </w:r>
    </w:p>
    <w:p>
      <w:pPr>
        <w:pStyle w:val="Heading1"/>
      </w:pPr>
      <w:r>
        <w:t>8. External Guidance Consulted</w:t>
      </w:r>
    </w:p>
    <w:p>
      <w:pPr>
        <w:spacing w:after="60"/>
      </w:pPr>
      <w:r>
        <w:rPr>
          <w:b/>
        </w:rPr>
        <w:t xml:space="preserve">ICMJE manuscript preparation: </w:t>
      </w:r>
      <w:r>
        <w:rPr>
          <w:color w:val="0066CC"/>
          <w:u w:val="single"/>
        </w:rPr>
        <w:t>https://www.icmje.org/recommendations/browse/manuscript-preparation/preparing-for-submission.html</w:t>
      </w:r>
      <w:r>
        <w:t xml:space="preserve"> (https://www.icmje.org/recommendations/browse/manuscript-preparation/preparing-for-submission.html)</w:t>
      </w:r>
    </w:p>
    <w:p>
      <w:pPr>
        <w:spacing w:after="60"/>
      </w:pPr>
      <w:r>
        <w:rPr>
          <w:b/>
        </w:rPr>
        <w:t xml:space="preserve">EQUATOR TRIPOD+AI reporting guideline page: </w:t>
      </w:r>
      <w:r>
        <w:rPr>
          <w:color w:val="0066CC"/>
          <w:u w:val="single"/>
        </w:rPr>
        <w:t>https://www.equator-network.org/reporting-guidelines/tripod-statement/</w:t>
      </w:r>
      <w:r>
        <w:t xml:space="preserve"> (https://www.equator-network.org/reporting-guidelines/tripod-statement/)</w:t>
      </w:r>
    </w:p>
    <w:p>
      <w:pPr>
        <w:spacing w:after="60"/>
      </w:pPr>
      <w:r>
        <w:rPr>
          <w:b/>
        </w:rPr>
        <w:t xml:space="preserve">EQUATOR AI/ML reporting-guideline collection: </w:t>
      </w:r>
      <w:r>
        <w:rPr>
          <w:color w:val="0066CC"/>
          <w:u w:val="single"/>
        </w:rPr>
        <w:t>https://www.equator-network.org/reporting-guidelines-study-design/artificial-intelligence-machine-learning-studies/</w:t>
      </w:r>
      <w:r>
        <w:t xml:space="preserve"> (https://www.equator-network.org/reporting-guidelines-study-design/artificial-intelligence-machine-learning-studies/)</w:t>
      </w:r>
    </w:p>
    <w:p>
      <w:pPr>
        <w:spacing w:after="60"/>
      </w:pPr>
      <w:r>
        <w:rPr>
          <w:b/>
        </w:rPr>
        <w:t xml:space="preserve">Springer Nature cover-letter guidance: </w:t>
      </w:r>
      <w:r>
        <w:rPr>
          <w:color w:val="0066CC"/>
          <w:u w:val="single"/>
        </w:rPr>
        <w:t>https://support.springernature.com/en/support/solutions/articles/6000245674-cover-letter</w:t>
      </w:r>
      <w:r>
        <w:t xml:space="preserve"> (https://support.springernature.com/en/support/solutions/articles/6000245674-cover-letter)</w:t>
      </w:r>
    </w:p>
    <w:p>
      <w:pPr>
        <w:spacing w:after="60"/>
      </w:pPr>
      <w:r>
        <w:rPr>
          <w:b/>
        </w:rPr>
        <w:t xml:space="preserve">Springer Nature data-availability statement guidance: </w:t>
      </w:r>
      <w:r>
        <w:rPr>
          <w:color w:val="0066CC"/>
          <w:u w:val="single"/>
        </w:rPr>
        <w:t>https://www.springernature.com/gp/authors/research-data-policy/data-availability-statements</w:t>
      </w:r>
      <w:r>
        <w:t xml:space="preserve"> (https://www.springernature.com/gp/authors/research-data-policy/data-availability-statements)</w:t>
      </w:r>
    </w:p>
    <w:p>
      <w:pPr>
        <w:pStyle w:val="Heading1"/>
      </w:pPr>
      <w:r>
        <w:t>9. Final Upload Sequence Checklist</w:t>
      </w:r>
    </w:p>
    <w:p>
      <w:pPr>
        <w:pStyle w:val="ListBullet"/>
        <w:spacing w:after="60"/>
      </w:pPr>
      <w:r>
        <w:t>Create a journal-specific copy of the main DOCX before changing formatting.</w:t>
      </w:r>
    </w:p>
    <w:p>
      <w:pPr>
        <w:pStyle w:val="ListBullet"/>
        <w:spacing w:after="60"/>
      </w:pPr>
      <w:r>
        <w:t>Fill all author and journal fields in the title page and cover letter.</w:t>
      </w:r>
    </w:p>
    <w:p>
      <w:pPr>
        <w:pStyle w:val="ListBullet"/>
        <w:spacing w:after="60"/>
      </w:pPr>
      <w:r>
        <w:t>Confirm that the generated submission-system PDF matches the local rendered manuscript.</w:t>
      </w:r>
    </w:p>
    <w:p>
      <w:pPr>
        <w:pStyle w:val="ListBullet"/>
        <w:spacing w:after="60"/>
      </w:pPr>
      <w:r>
        <w:t>Upload TIFF figures separately if required and verify figure captions/numbering.</w:t>
      </w:r>
    </w:p>
    <w:p>
      <w:pPr>
        <w:pStyle w:val="ListBullet"/>
        <w:spacing w:after="60"/>
      </w:pPr>
      <w:r>
        <w:t>Paste the Data and Code Availability statement into any separate portal field exactly as in the manuscript, adjusted only for journal word limits.</w:t>
      </w:r>
    </w:p>
    <w:p>
      <w:pPr>
        <w:pStyle w:val="ListBullet"/>
        <w:spacing w:after="60"/>
      </w:pPr>
      <w:r>
        <w:t>Save submission confirmation, manuscript ID, and the exact uploaded file versions.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