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10.docx Systematic Upgrade Execution Report</w:t>
      </w:r>
    </w:p>
    <w:p>
      <w:pPr>
        <w:jc w:val="center"/>
      </w:pPr>
      <w:r>
        <w:rPr>
          <w:i/>
          <w:sz w:val="20"/>
        </w:rPr>
        <w:t>21 requested outputs completed from real experiment artifacts</w:t>
      </w:r>
    </w:p>
    <w:p>
      <w:pPr>
        <w:pStyle w:val="Heading1"/>
      </w:pPr>
      <w:r>
        <w:t>1. Reviewer-style overall diagnosis</w:t>
      </w:r>
    </w:p>
    <w:p>
      <w:pPr>
        <w:pStyle w:val="ListBullet"/>
      </w:pPr>
      <w:r>
        <w:t>Main strength: the project now has a complete public-dataset pipeline with patient-level NIH splitting, external validation, calibration transfer, comparator architectures, Grad-CAM++ failure-mode examples, and reproducibility packaging.</w:t>
      </w:r>
    </w:p>
    <w:p>
      <w:pPr>
        <w:pStyle w:val="ListBullet"/>
      </w:pPr>
      <w:r>
        <w:t>Main risk: the analysis uses selected public subsets rather than full official cohorts; the manuscript must say public-subset validation and must not claim clinical readiness.</w:t>
      </w:r>
    </w:p>
    <w:p>
      <w:pPr>
        <w:pStyle w:val="ListBullet"/>
      </w:pPr>
      <w:r>
        <w:t>Key interpretation risk: external AUPRC is higher than internal AUPRC, but this is driven by prevalence/case-mix/label-source differences and should not be framed as superior external generalization.</w:t>
      </w:r>
    </w:p>
    <w:p>
      <w:pPr>
        <w:pStyle w:val="ListBullet"/>
      </w:pPr>
      <w:r>
        <w:t>Label risk: Edema and Pneumonia had zero external positives and must remain outside external primary discrimination claims.</w:t>
      </w:r>
    </w:p>
    <w:p>
      <w:pPr>
        <w:pStyle w:val="Heading1"/>
      </w:pPr>
      <w:r>
        <w:t>2. Revised paper positioning</w:t>
      </w:r>
    </w:p>
    <w:p>
      <w:r>
        <w:t>Recommended positioning: a reproducible public-subset external-validation and calibration-transfer study for multi-label chest radiograph classification, using NIH ChestX-ray14 as development data and VinDr-derived data as independent external validation.</w:t>
      </w:r>
    </w:p>
    <w:p>
      <w:r>
        <w:t>Avoided positioning: full official-cohort benchmark, prospective clinical validation, or clinical decision-support readiness study.</w:t>
      </w:r>
    </w:p>
    <w:p>
      <w:pPr>
        <w:pStyle w:val="Heading1"/>
      </w:pPr>
      <w:r>
        <w:t>3. Recommended titles</w:t>
      </w:r>
    </w:p>
    <w:p>
      <w:pPr>
        <w:pStyle w:val="ListBullet"/>
      </w:pPr>
      <w:r>
        <w:t>Cross-dataset Generalizability, Calibration Transfer, and Grad-CAM++ Failure-mode Analysis of Deep Learning Models for Multi-label Chest Radiograph Classification</w:t>
      </w:r>
    </w:p>
    <w:p>
      <w:pPr>
        <w:pStyle w:val="ListBullet"/>
      </w:pPr>
      <w:r>
        <w:t>Reproducible Public-subset External Validation of Deep Learning Chest Radiograph Classifiers from NIH ChestX-ray14 to VinDr-CXR</w:t>
      </w:r>
    </w:p>
    <w:p>
      <w:pPr>
        <w:pStyle w:val="ListBullet"/>
      </w:pPr>
      <w:r>
        <w:t>Discrimination, Calibration Transfer, and Saliency Failure Modes in Public Chest Radiograph Classification</w:t>
      </w:r>
    </w:p>
    <w:p>
      <w:pPr>
        <w:pStyle w:val="ListBullet"/>
      </w:pPr>
      <w:r>
        <w:t>From NIH ChestX-ray14 to VinDr-CXR: External Validation and Calibration of Multi-label Chest Radiograph Classifiers</w:t>
      </w:r>
    </w:p>
    <w:p>
      <w:pPr>
        <w:pStyle w:val="ListBullet"/>
      </w:pPr>
      <w:r>
        <w:t>Dataset Shift, Probability Calibration, and Grad-CAM++ Failure Modes in Public Chest X-ray AI Models</w:t>
      </w:r>
    </w:p>
    <w:p>
      <w:pPr>
        <w:pStyle w:val="Heading1"/>
      </w:pPr>
      <w:r>
        <w:t>4. Rewritten Abstract</w:t>
      </w:r>
    </w:p>
    <w:p>
      <w:r>
        <w:t>The abstract in the upgraded manuscript has been fully rewritten with structured Background, Methods, Results, and Conclusions. It uses actual sample sizes, macro metrics, calibration values, external-evaluable labels, and no placeholders.</w:t>
      </w:r>
    </w:p>
    <w:p>
      <w:pPr>
        <w:pStyle w:val="Heading1"/>
      </w:pPr>
      <w:r>
        <w:t>5. Rewritten Introduction</w:t>
      </w:r>
    </w:p>
    <w:p>
      <w:r>
        <w:t>The Introduction now frames the study around dataset shift, label-source heterogeneity, AUPRC under imbalance, calibration transfer, and cautious saliency use.</w:t>
      </w:r>
    </w:p>
    <w:p>
      <w:pPr>
        <w:pStyle w:val="Heading1"/>
      </w:pPr>
      <w:r>
        <w:t>6. Rewritten Methods</w:t>
      </w:r>
    </w:p>
    <w:p>
      <w:pPr>
        <w:pStyle w:val="ListBullet"/>
      </w:pPr>
      <w:r>
        <w:t>Environment: Python 3.12.10, PyTorch 2.11.0+cu128, CUDA 12.8, GPU NVIDIA GeForce RTX 5060 Laptop GPU.</w:t>
      </w:r>
    </w:p>
    <w:p>
      <w:pPr>
        <w:pStyle w:val="ListBullet"/>
      </w:pPr>
      <w:r>
        <w:t>NIH split: patient-level train/validation/calibration/internal-test.</w:t>
      </w:r>
    </w:p>
    <w:p>
      <w:pPr>
        <w:pStyle w:val="ListBullet"/>
      </w:pPr>
      <w:r>
        <w:t>Thresholds: selected only from NIH validation.</w:t>
      </w:r>
    </w:p>
    <w:p>
      <w:pPr>
        <w:pStyle w:val="ListBullet"/>
      </w:pPr>
      <w:r>
        <w:t>Calibration: fitted only on NIH calibration split.</w:t>
      </w:r>
    </w:p>
    <w:p>
      <w:pPr>
        <w:pStyle w:val="ListBullet"/>
      </w:pPr>
      <w:r>
        <w:t>External validation: VinDr external predictions were used only after model, threshold, and calibration choices were fixed.</w:t>
      </w:r>
    </w:p>
    <w:p>
      <w:pPr>
        <w:pStyle w:val="Heading1"/>
      </w:pPr>
      <w:r>
        <w:t>7. Rewritten Results</w:t>
      </w:r>
    </w:p>
    <w:p>
      <w:r>
        <w:t>DenseNet121 internal all-label macro AUROC/AUPRC were 0.680/0.214; external nonzero-prevalence macro AUROC/AUPRC were 0.743/0.434. Internal values on the same external-evaluable label set were 0.667/0.269.</w:t>
      </w:r>
    </w:p>
    <w:p>
      <w:r>
        <w:t>Calibration baseline: internal uncalibrated macro Brier/ECE/MCE/slope/intercept = 0.193/0.269/0.539/0.633/-2.285.</w:t>
      </w:r>
    </w:p>
    <w:p>
      <w:pPr>
        <w:pStyle w:val="Heading1"/>
      </w:pPr>
      <w:r>
        <w:t>8. Rewritten Discussion</w:t>
      </w:r>
    </w:p>
    <w:p>
      <w:r>
        <w:t>The Discussion now emphasizes that external performance must be interpreted with prevalence and label-source differences, calibration transfer remains imperfect, and Grad-CAM++ is an exploratory failure-mode tool.</w:t>
      </w:r>
    </w:p>
    <w:p>
      <w:pPr>
        <w:pStyle w:val="Heading1"/>
      </w:pPr>
      <w:r>
        <w:t>9. Rewritten Limitations</w:t>
      </w:r>
    </w:p>
    <w:p>
      <w:pPr>
        <w:pStyle w:val="ListBullet"/>
      </w:pPr>
      <w:r>
        <w:t>Selected public subsets rather than full official cohorts.</w:t>
      </w:r>
    </w:p>
    <w:p>
      <w:pPr>
        <w:pStyle w:val="ListBullet"/>
      </w:pPr>
      <w:r>
        <w:t>Weak-label NIH source versus radiologist-annotated VinDr source.</w:t>
      </w:r>
    </w:p>
    <w:p>
      <w:pPr>
        <w:pStyle w:val="ListBullet"/>
      </w:pPr>
      <w:r>
        <w:t>Zero-positive Edema and Pneumonia externally.</w:t>
      </w:r>
    </w:p>
    <w:p>
      <w:pPr>
        <w:pStyle w:val="ListBullet"/>
      </w:pPr>
      <w:r>
        <w:t>224 x 224 preprocessing, not a full-resolution official-cohort benchmark.</w:t>
      </w:r>
    </w:p>
    <w:p>
      <w:pPr>
        <w:pStyle w:val="ListBullet"/>
      </w:pPr>
      <w:r>
        <w:t>No prospective or clinical workflow validation.</w:t>
      </w:r>
    </w:p>
    <w:p>
      <w:pPr>
        <w:pStyle w:val="Heading1"/>
      </w:pPr>
      <w:r>
        <w:t>10. Rewritten Conclusion</w:t>
      </w:r>
    </w:p>
    <w:p>
      <w:r>
        <w:t>The Conclusion now states that the project provides a transparent reproducible validation package, not evidence for clinical deployment.</w:t>
      </w:r>
    </w:p>
    <w:p>
      <w:pPr>
        <w:pStyle w:val="Heading1"/>
      </w:pPr>
      <w:r>
        <w:t>11. Data/Code Availability</w:t>
      </w:r>
    </w:p>
    <w:p>
      <w:r>
        <w:t>The reproducibility package includes split CSVs, label_map.yaml, prediction CSVs, calibration outputs, figure source data, checkpoints, logs, package versions, random seeds, and GPU information.</w:t>
      </w:r>
    </w:p>
    <w:p>
      <w:pPr>
        <w:pStyle w:val="Heading1"/>
      </w:pPr>
      <w:r>
        <w:t>12. Ethics Statement</w:t>
      </w:r>
    </w:p>
    <w:p>
      <w:r>
        <w:t>The manuscript states that the study used de-identified public datasets and requires local confirmation of IRB exemption or waiver documentation before submission.</w:t>
      </w:r>
    </w:p>
    <w:p>
      <w:pPr>
        <w:pStyle w:val="Heading1"/>
      </w:pPr>
      <w:r>
        <w:t>13. Main table design</w:t>
      </w:r>
    </w:p>
    <w:p>
      <w:pPr>
        <w:pStyle w:val="Heading2"/>
      </w:pPr>
      <w:r>
        <w:t>Main Table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dataset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split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n_images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n_patients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NIH ChestX-ray14 public parquet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overall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5000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3795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NIH ChestX-ray14 public parquet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calibration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751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379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NIH ChestX-ray14 public parquet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internal_test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739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379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NIH ChestX-ray14 public parquet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train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2679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2657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NIH ChestX-ray14 public parquet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831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380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VinDr-CXR/VinBigData-derived public PNG subset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independent external validation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external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1000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1000</w:t>
            </w:r>
          </w:p>
        </w:tc>
      </w:tr>
    </w:tbl>
    <w:p>
      <w:pPr>
        <w:pStyle w:val="Heading2"/>
      </w:pPr>
      <w:r>
        <w:t>Main Table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harmonized_label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analysis_role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external_positives_in_analyzed_subset</w:t>
            </w:r>
          </w:p>
        </w:tc>
        <w:tc>
          <w:tcPr>
            <w:tcW w:type="dxa" w:w="2541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external_evaluable_for_auc_pr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Atelectasis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Cardiomegaly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276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Pleural Effusion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288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Pneumothorax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Consolidation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175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Edema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primary internally; external unevaluable in cached subset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Pneumonia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sensitivity internally; external unevaluable in cached subset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No Finding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sensitivity/reference label; external-evaluable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414</w:t>
            </w:r>
          </w:p>
        </w:tc>
        <w:tc>
          <w:tcPr>
            <w:tcW w:type="dxa" w:w="2541"/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</w:tr>
    </w:tbl>
    <w:p>
      <w:pPr>
        <w:pStyle w:val="Heading2"/>
      </w:pPr>
      <w:r>
        <w:t>Main Table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label</w:t>
            </w:r>
          </w:p>
        </w:tc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internal_auroc_95ci</w:t>
            </w:r>
          </w:p>
        </w:tc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external_auroc_95ci</w:t>
            </w:r>
          </w:p>
        </w:tc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internal_auprc_95ci</w:t>
            </w:r>
          </w:p>
        </w:tc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external_auprc_95ci</w:t>
            </w:r>
          </w:p>
        </w:tc>
        <w:tc>
          <w:tcPr>
            <w:tcW w:type="dxa" w:w="1694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external_analysis_status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Atelectasis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0.679 (0.616-0.743)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0.617 (0.577-0.658)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0.222 (0.169-0.306)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0.157 (0.132-0.194)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Cardiomegaly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0.675 (0.560-0.771)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0.780 (0.752-0.810)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0.119 (0.043-0.240)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0.565 (0.505-0.625)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Pleural Effusion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0.709 (0.650-0.763)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0.811 (0.779-0.838)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0.335 (0.258-0.431)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0.637 (0.580-0.692)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Pneumothorax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0.646 (0.535-0.754)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0.657 (0.598-0.718)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0.198 (0.085-0.366)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0.092 (0.066-0.135)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Consolidation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0.618 (0.532-0.695)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0.745 (0.710-0.778)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0.076 (0.053-0.127)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0.374 (0.321-0.450)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Edema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0.794 (0.689-0.878)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0.059 (0.028-0.122)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not evaluable for discrimination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Pneumonia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0.645 (0.522-0.751)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0.037 (0.020-0.080)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NA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not evaluable for discrimination</w:t>
            </w:r>
          </w:p>
        </w:tc>
      </w:tr>
      <w:tr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No Finding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0.676 (0.630-0.723)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0.846 (0.823-0.869)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0.662 (0.601-0.726)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0.782 (0.738-0.821)</w:t>
            </w:r>
          </w:p>
        </w:tc>
        <w:tc>
          <w:tcPr>
            <w:tcW w:type="dxa" w:w="1694"/>
            <w:vAlign w:val="center"/>
          </w:tcPr>
          <w:p>
            <w:r>
              <w:rPr>
                <w:rFonts w:ascii="Arial" w:hAnsi="Arial"/>
                <w:sz w:val="16"/>
              </w:rPr>
              <w:t>evaluable</w:t>
            </w:r>
          </w:p>
        </w:tc>
      </w:tr>
    </w:tbl>
    <w:p>
      <w:pPr>
        <w:pStyle w:val="Heading2"/>
      </w:pPr>
      <w:r>
        <w:t>Main Table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model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internal_all_labels_macro_auroc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internal_all_labels_macro_auprc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external_nonzero_prevalence_labels_macro_auroc</w:t>
            </w:r>
          </w:p>
        </w:tc>
        <w:tc>
          <w:tcPr>
            <w:tcW w:type="dxa" w:w="2033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external_nonzero_prevalence_labels_macro_auprc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DenseNet121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0.680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0.214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0.743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0.434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ResNet50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0.647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0.200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0.728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0.418</w:t>
            </w:r>
          </w:p>
        </w:tc>
      </w:tr>
      <w:tr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EfficientNet-B0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0.656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0.218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0.656</w:t>
            </w:r>
          </w:p>
        </w:tc>
        <w:tc>
          <w:tcPr>
            <w:tcW w:type="dxa" w:w="2033"/>
            <w:vAlign w:val="center"/>
          </w:tcPr>
          <w:p>
            <w:r>
              <w:rPr>
                <w:rFonts w:ascii="Arial" w:hAnsi="Arial"/>
                <w:sz w:val="16"/>
              </w:rPr>
              <w:t>0.370</w:t>
            </w:r>
          </w:p>
        </w:tc>
      </w:tr>
    </w:tbl>
    <w:p>
      <w:pPr>
        <w:pStyle w:val="Heading2"/>
      </w:pPr>
      <w:r>
        <w:t>Main Table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dataset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calibration_method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brier_score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ece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mce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calibration_slope</w:t>
            </w:r>
          </w:p>
        </w:tc>
        <w:tc>
          <w:tcPr>
            <w:tcW w:type="dxa" w:w="1452"/>
            <w:vAlign w:val="center"/>
            <w:shd w:fill="D9EAF7"/>
          </w:tcPr>
          <w:p>
            <w:r>
              <w:rPr>
                <w:rFonts w:ascii="Arial" w:hAnsi="Arial"/>
                <w:b/>
                <w:sz w:val="16"/>
              </w:rPr>
              <w:t>calibration_intercept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NIH_internal_test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uncalibrated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0.193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0.269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0.539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0.633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-2.285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NIH_internal_test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temperature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0.189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0.280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0.556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0.821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-2.286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NIH_internal_test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platt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0.079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0.028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0.269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1.151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0.389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NIH_internal_test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isotonic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0.081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0.031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0.286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0.405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-1.389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VinDr_external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uncalibrated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0.157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0.197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0.484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1.128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-1.658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VinDr_external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temperature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0.159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0.214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0.452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1.466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-1.657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VinDr_external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platt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0.120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0.099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0.236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2.436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3.957</w:t>
            </w:r>
          </w:p>
        </w:tc>
      </w:tr>
      <w:tr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VinDr_external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isotonic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0.119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0.095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0.322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1.159</w:t>
            </w:r>
          </w:p>
        </w:tc>
        <w:tc>
          <w:tcPr>
            <w:tcW w:type="dxa" w:w="1452"/>
            <w:vAlign w:val="center"/>
          </w:tcPr>
          <w:p>
            <w:r>
              <w:rPr>
                <w:rFonts w:ascii="Arial" w:hAnsi="Arial"/>
                <w:sz w:val="16"/>
              </w:rPr>
              <w:t>0.548</w:t>
            </w:r>
          </w:p>
        </w:tc>
      </w:tr>
    </w:tbl>
    <w:p>
      <w:pPr>
        <w:pStyle w:val="Heading1"/>
      </w:pPr>
      <w:r>
        <w:t>14. Supplementary table design</w:t>
      </w:r>
    </w:p>
    <w:p>
      <w:pPr>
        <w:pStyle w:val="ListBullet"/>
      </w:pPr>
      <w:r>
        <w:t>Supplementary Table 1: ResNet50 label-wise performance.</w:t>
      </w:r>
    </w:p>
    <w:p>
      <w:pPr>
        <w:pStyle w:val="ListBullet"/>
      </w:pPr>
      <w:r>
        <w:t>Supplementary Table 2: EfficientNet-B0 label-wise performance.</w:t>
      </w:r>
    </w:p>
    <w:p>
      <w:pPr>
        <w:pStyle w:val="ListBullet"/>
      </w:pPr>
      <w:r>
        <w:t>Supplementary Table 3: NIH-validation thresholds.</w:t>
      </w:r>
    </w:p>
    <w:p>
      <w:pPr>
        <w:pStyle w:val="ListBullet"/>
      </w:pPr>
      <w:r>
        <w:t>Supplementary Table 4: AUPRC baseline and lift.</w:t>
      </w:r>
    </w:p>
    <w:p>
      <w:pPr>
        <w:pStyle w:val="ListBullet"/>
      </w:pPr>
      <w:r>
        <w:t>Supplementary Table 5: per-label calibration metrics.</w:t>
      </w:r>
    </w:p>
    <w:p>
      <w:pPr>
        <w:pStyle w:val="ListBullet"/>
      </w:pPr>
      <w:r>
        <w:t>Supplementary Table 6: paired bootstrap model comparison.</w:t>
      </w:r>
    </w:p>
    <w:p>
      <w:pPr>
        <w:pStyle w:val="ListBullet"/>
      </w:pPr>
      <w:r>
        <w:t>Supplementary Table 7: hyperparameters.</w:t>
      </w:r>
    </w:p>
    <w:p>
      <w:pPr>
        <w:pStyle w:val="ListBullet"/>
      </w:pPr>
      <w:r>
        <w:t>Supplementary Table 8: environment and rerun commands.</w:t>
      </w:r>
    </w:p>
    <w:p>
      <w:pPr>
        <w:pStyle w:val="ListBullet"/>
      </w:pPr>
      <w:r>
        <w:t>Supplementary Table 9: MedMNIST status, explicitly not used as evidence.</w:t>
      </w:r>
    </w:p>
    <w:p>
      <w:pPr>
        <w:pStyle w:val="Heading2"/>
      </w:pPr>
      <w:r>
        <w:t>Supplementary Table 6 excerpt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dataset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label_set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metric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model_a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model_b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difference_a_minus_b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ci_lower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ci_upper</w:t>
            </w:r>
          </w:p>
        </w:tc>
        <w:tc>
          <w:tcPr>
            <w:tcW w:type="dxa" w:w="1130"/>
            <w:vAlign w:val="center"/>
            <w:shd w:fill="D9EAF7"/>
          </w:tcPr>
          <w:p>
            <w:r>
              <w:rPr>
                <w:rFonts w:ascii="Arial" w:hAnsi="Arial"/>
                <w:b/>
                <w:sz w:val="15"/>
              </w:rPr>
              <w:t>ci_excludes_zero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0.033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0.007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0.064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True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0.024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-0.007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0.054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-0.009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-0.046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0.026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0.013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-0.010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0.036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-0.004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-0.030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0.011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all_valid_labels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-0.017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-0.042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0.000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0.014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-0.016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0.045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-0.006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-0.037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0.020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auroc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-0.046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0.006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0.014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-0.016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0.042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DenseNet121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-0.002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-0.032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0.019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  <w:tr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NIH internal test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external_evaluable_labels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auprc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ResNet50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EfficientNet-B0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-0.017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-0.044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0.007</w:t>
            </w:r>
          </w:p>
        </w:tc>
        <w:tc>
          <w:tcPr>
            <w:tcW w:type="dxa" w:w="1130"/>
            <w:vAlign w:val="center"/>
          </w:tcPr>
          <w:p>
            <w:r>
              <w:rPr>
                <w:rFonts w:ascii="Arial" w:hAnsi="Arial"/>
                <w:sz w:val="15"/>
              </w:rPr>
              <w:t>False</w:t>
            </w:r>
          </w:p>
        </w:tc>
      </w:tr>
    </w:tbl>
    <w:p>
      <w:pPr>
        <w:pStyle w:val="Heading1"/>
      </w:pPr>
      <w:r>
        <w:t>15. Figure design and captions</w:t>
      </w:r>
    </w:p>
    <w:p>
      <w:pPr>
        <w:pStyle w:val="ListBullet"/>
      </w:pPr>
      <w:r>
        <w:t>Figure 1: workflow with explicit train/validation/calibration/internal/external separation.</w:t>
      </w:r>
    </w:p>
    <w:p>
      <w:pPr>
        <w:pStyle w:val="ListBullet"/>
      </w:pPr>
      <w:r>
        <w:t>Figure 2: DenseNet121 label-wise AUROC/AUPRC with NA markings for externally unevaluable labels.</w:t>
      </w:r>
    </w:p>
    <w:p>
      <w:pPr>
        <w:pStyle w:val="ListBullet"/>
      </w:pPr>
      <w:r>
        <w:t>Figure 3: prevalence baseline and AUPRC lift.</w:t>
      </w:r>
    </w:p>
    <w:p>
      <w:pPr>
        <w:pStyle w:val="ListBullet"/>
      </w:pPr>
      <w:r>
        <w:t>Figure 4: calibration curves, specifying NIH-only calibration fitting.</w:t>
      </w:r>
    </w:p>
    <w:p>
      <w:pPr>
        <w:pStyle w:val="ListBullet"/>
      </w:pPr>
      <w:r>
        <w:t>Figure 5: Grad-CAM++ failure-mode panels with caution against clinical reasoning claims.</w:t>
      </w:r>
    </w:p>
    <w:p>
      <w:pPr>
        <w:pStyle w:val="ListBullet"/>
      </w:pPr>
      <w:r>
        <w:t>Figure 6: internal-minus-external AUROC difference.</w:t>
      </w:r>
    </w:p>
    <w:p>
      <w:pPr>
        <w:pStyle w:val="Heading2"/>
      </w:pPr>
      <w:r>
        <w:t>Figure preview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0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tudy_workflow_three_model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Workflow preview.</w:t>
      </w:r>
    </w:p>
    <w:p>
      <w:pPr>
        <w:pStyle w:val="Heading2"/>
      </w:pPr>
      <w:r>
        <w:t>Figure preview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9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densenet121_internal_external_c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Discrimination preview.</w:t>
      </w:r>
    </w:p>
    <w:p>
      <w:pPr>
        <w:pStyle w:val="Heading2"/>
      </w:pPr>
      <w:r>
        <w:t>Figure preview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prevalence_auprc_baseline_lif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AUPRC lift preview.</w:t>
      </w:r>
    </w:p>
    <w:p>
      <w:pPr>
        <w:pStyle w:val="Heading1"/>
      </w:pPr>
      <w:r>
        <w:t>16. Mandatory statistics list</w:t>
      </w:r>
    </w:p>
    <w:p>
      <w:pPr>
        <w:pStyle w:val="ListBullet"/>
      </w:pPr>
      <w:r>
        <w:t>External-evaluable label macro AUROC/AUPRC: completed.</w:t>
      </w:r>
    </w:p>
    <w:p>
      <w:pPr>
        <w:pStyle w:val="ListBullet"/>
      </w:pPr>
      <w:r>
        <w:t>Internal all-label macro and internal external-evaluable macro: completed.</w:t>
      </w:r>
    </w:p>
    <w:p>
      <w:pPr>
        <w:pStyle w:val="ListBullet"/>
      </w:pPr>
      <w:r>
        <w:t>External macro restricted to nonzero-prevalence labels: completed.</w:t>
      </w:r>
    </w:p>
    <w:p>
      <w:pPr>
        <w:pStyle w:val="ListBullet"/>
      </w:pPr>
      <w:r>
        <w:t>AUPRC baseline and lift: completed.</w:t>
      </w:r>
    </w:p>
    <w:p>
      <w:pPr>
        <w:pStyle w:val="ListBullet"/>
      </w:pPr>
      <w:r>
        <w:t>Calibration Brier/ECE/MCE/slope/intercept: completed.</w:t>
      </w:r>
    </w:p>
    <w:p>
      <w:pPr>
        <w:pStyle w:val="ListBullet"/>
      </w:pPr>
      <w:r>
        <w:t>Per-label thresholds: completed.</w:t>
      </w:r>
    </w:p>
    <w:p>
      <w:pPr>
        <w:pStyle w:val="ListBullet"/>
      </w:pPr>
      <w:r>
        <w:t>Paired patient-level bootstrap model comparison: completed.</w:t>
      </w:r>
    </w:p>
    <w:p>
      <w:pPr>
        <w:pStyle w:val="ListBullet"/>
      </w:pPr>
      <w:r>
        <w:t>ROC/PR curves and probability distributions: completed as supplementary figures.</w:t>
      </w:r>
    </w:p>
    <w:p>
      <w:pPr>
        <w:pStyle w:val="Heading1"/>
      </w:pPr>
      <w:r>
        <w:t>17. Reference expansion advice</w:t>
      </w:r>
    </w:p>
    <w:p>
      <w:pPr>
        <w:pStyle w:val="ListBullet"/>
      </w:pPr>
      <w:r>
        <w:t>Keep dataset citations: NIH ChestX-ray14/ChestX-ray8, VinDr-CXR, CheXpert, MIMIC-CXR, PadChest.</w:t>
      </w:r>
    </w:p>
    <w:p>
      <w:pPr>
        <w:pStyle w:val="ListBullet"/>
      </w:pPr>
      <w:r>
        <w:t>Keep model citations: DenseNet, ResNet, EfficientNet.</w:t>
      </w:r>
    </w:p>
    <w:p>
      <w:pPr>
        <w:pStyle w:val="ListBullet"/>
      </w:pPr>
      <w:r>
        <w:t>Keep evaluation citations: calibration, precision-recall under imbalance, dataset shift.</w:t>
      </w:r>
    </w:p>
    <w:p>
      <w:pPr>
        <w:pStyle w:val="ListBullet"/>
      </w:pPr>
      <w:r>
        <w:t>Keep reporting citations: CLAIM 2024, TRIPOD+AI, CONSORT-AI/SPIRIT-AI, DECIDE-AI, STARD, PROBAST.</w:t>
      </w:r>
    </w:p>
    <w:p>
      <w:pPr>
        <w:pStyle w:val="Heading1"/>
      </w:pPr>
      <w:r>
        <w:t>18. Pre-submission checklist</w:t>
      </w:r>
    </w:p>
    <w:p>
      <w:pPr>
        <w:pStyle w:val="ListBullet"/>
      </w:pPr>
      <w:r>
        <w:t>No synthetic metrics in tables.</w:t>
      </w:r>
    </w:p>
    <w:p>
      <w:pPr>
        <w:pStyle w:val="ListBullet"/>
      </w:pPr>
      <w:r>
        <w:t>No external test tuning.</w:t>
      </w:r>
    </w:p>
    <w:p>
      <w:pPr>
        <w:pStyle w:val="ListBullet"/>
      </w:pPr>
      <w:r>
        <w:t>No VinDr calibration fitting in primary analysis.</w:t>
      </w:r>
    </w:p>
    <w:p>
      <w:pPr>
        <w:pStyle w:val="ListBullet"/>
      </w:pPr>
      <w:r>
        <w:t>All external Edema/Pneumonia claims removed or marked unevaluable.</w:t>
      </w:r>
    </w:p>
    <w:p>
      <w:pPr>
        <w:pStyle w:val="ListBullet"/>
      </w:pPr>
      <w:r>
        <w:t>Figures have source CSVs where numeric.</w:t>
      </w:r>
    </w:p>
    <w:p>
      <w:pPr>
        <w:pStyle w:val="ListBullet"/>
      </w:pPr>
      <w:r>
        <w:t>Prediction CSVs are retained.</w:t>
      </w:r>
    </w:p>
    <w:p>
      <w:pPr>
        <w:pStyle w:val="ListBullet"/>
      </w:pPr>
      <w:r>
        <w:t>Random seed and environment logged.</w:t>
      </w:r>
    </w:p>
    <w:p>
      <w:pPr>
        <w:pStyle w:val="ListBullet"/>
      </w:pPr>
      <w:r>
        <w:t>Clinical claims are cautious.</w:t>
      </w:r>
    </w:p>
    <w:p>
      <w:pPr>
        <w:pStyle w:val="Heading1"/>
      </w:pPr>
      <w:r>
        <w:t>19. SCI Q4 feasibility</w:t>
      </w:r>
    </w:p>
    <w:p>
      <w:r>
        <w:t>Feasibility: good for a methods/validation-oriented Q4 medical imaging or applied AI journal if the manuscript remains honest about public-subset scope and emphasizes reproducibility, calibration, and external-validation guardrails.</w:t>
      </w:r>
    </w:p>
    <w:p>
      <w:pPr>
        <w:pStyle w:val="Heading1"/>
      </w:pPr>
      <w:r>
        <w:t>20. SCI Q3 feasibility</w:t>
      </w:r>
    </w:p>
    <w:p>
      <w:r>
        <w:t>Feasibility: possible but more demanding. The strongest path is to position the work as a reproducible validation and calibration-transfer package, add full official-cohort data if feasible, and strengthen reporting-guideline compliance. Without full official cohorts or prospective validation, Q3 acceptance depends on venue tolerance for public-subset methodological studies.</w:t>
      </w:r>
    </w:p>
    <w:p>
      <w:pPr>
        <w:pStyle w:val="Heading1"/>
      </w:pPr>
      <w:r>
        <w:t>21. Remaining data/file list</w:t>
      </w:r>
    </w:p>
    <w:p>
      <w:pPr>
        <w:pStyle w:val="ListBullet"/>
      </w:pPr>
      <w:r>
        <w:t>Optional stronger evidence: full official NIH ChestX-ray14 image release and full official VinDr-CXR release.</w:t>
      </w:r>
    </w:p>
    <w:p>
      <w:pPr>
        <w:pStyle w:val="ListBullet"/>
      </w:pPr>
      <w:r>
        <w:t>Optional stronger analysis: external demographic subgroup labels if reliable metadata are available.</w:t>
      </w:r>
    </w:p>
    <w:p>
      <w:pPr>
        <w:pStyle w:val="ListBullet"/>
      </w:pPr>
      <w:r>
        <w:t>Optional stronger explainability: expert localization review or verified bounding-box overlap on externally positive findings.</w:t>
      </w:r>
    </w:p>
    <w:p>
      <w:pPr>
        <w:pStyle w:val="ListBullet"/>
      </w:pPr>
      <w:r>
        <w:t>Administrative before submission: target journal formatting, author affiliations, funding, conflict-of-interest statement, and local IRB/exemption wording.</w:t>
      </w:r>
    </w:p>
    <w:p>
      <w:pPr>
        <w:pStyle w:val="Heading1"/>
      </w:pPr>
      <w:r>
        <w:t>Final reviewer-risk audit</w:t>
      </w:r>
    </w:p>
    <w:p>
      <w:pPr>
        <w:pStyle w:val="ListBullet"/>
      </w:pPr>
      <w:r>
        <w:t>NIH split is patient-level.</w:t>
      </w:r>
    </w:p>
    <w:p>
      <w:pPr>
        <w:pStyle w:val="ListBullet"/>
      </w:pPr>
      <w:r>
        <w:t>VinDr external subset was not used for threshold tuning, model selection, retraining, or calibration fitting.</w:t>
      </w:r>
    </w:p>
    <w:p>
      <w:pPr>
        <w:pStyle w:val="ListBullet"/>
      </w:pPr>
      <w:r>
        <w:t>Calibration models were fitted on NIH calibration only.</w:t>
      </w:r>
    </w:p>
    <w:p>
      <w:pPr>
        <w:pStyle w:val="ListBullet"/>
      </w:pPr>
      <w:r>
        <w:t>Edema and Pneumonia have zero external positives in the analyzed cached subset and are not used for external discrimination claims.</w:t>
      </w:r>
    </w:p>
    <w:p>
      <w:pPr>
        <w:pStyle w:val="ListBullet"/>
      </w:pPr>
      <w:r>
        <w:t>Grad-CAM++ is reported only as qualitative failure-mode analysis.</w:t>
      </w:r>
    </w:p>
    <w:p>
      <w:r>
        <w:t>Audit result: no data leakage was identified in the documented NIH patient-level split; VinDr was not used for tuning, retraining, model selection, or calibration fitting; MedMNIST is not used as evidence; Grad-CAM++ language is restricted to qualitative failure-mode analysis.</w:t>
      </w:r>
    </w:p>
    <w:sectPr w:rsidR="00FC693F" w:rsidRPr="0006063C" w:rsidSect="00034616"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