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Final Submission Package</w:t>
      </w:r>
    </w:p>
    <w:p>
      <w:pPr>
        <w:jc w:val="center"/>
      </w:pPr>
      <w:r>
        <w:rPr>
          <w:i/>
          <w:sz w:val="20"/>
        </w:rPr>
        <w:t>Title page, declarations, cover letter, highlights, graphical abstract plan, supplementary organization, risk table, and checklist</w:t>
      </w:r>
    </w:p>
    <w:p>
      <w:pPr>
        <w:pStyle w:val="Heading1"/>
      </w:pPr>
      <w:r>
        <w:t>Overall final submission diagnosis</w:t>
      </w:r>
    </w:p>
    <w:p>
      <w:pPr>
        <w:pStyle w:val="ListBullet"/>
      </w:pPr>
      <w:r>
        <w:t>The manuscript is ready for target-journal formatting after administrative placeholders are filled.</w:t>
      </w:r>
    </w:p>
    <w:p>
      <w:pPr>
        <w:pStyle w:val="ListBullet"/>
      </w:pPr>
      <w:r>
        <w:t>Scientific claims are appropriately bounded to selected public-subset validation.</w:t>
      </w:r>
    </w:p>
    <w:p>
      <w:pPr>
        <w:pStyle w:val="ListBullet"/>
      </w:pPr>
      <w:r>
        <w:t>External validation, calibration transfer, and Grad-CAM++ language are cautious.</w:t>
      </w:r>
    </w:p>
    <w:p>
      <w:pPr>
        <w:pStyle w:val="ListBullet"/>
      </w:pPr>
      <w:r>
        <w:t>NIH uncertainty intervals are described as patient-level bootstrap estimates, whereas external uncertainty intervals are described as image-identifier-level bootstrap approximations.</w:t>
      </w:r>
    </w:p>
    <w:p>
      <w:pPr>
        <w:pStyle w:val="ListBullet"/>
      </w:pPr>
      <w:r>
        <w:t>Main remaining blockers are target journal selection, author/declaration details, repository link, reference formatting, and IRB wording.</w:t>
      </w:r>
    </w:p>
    <w:p>
      <w:pPr>
        <w:pStyle w:val="Heading1"/>
      </w:pPr>
      <w:r>
        <w:t>Final title options</w:t>
      </w:r>
    </w:p>
    <w:p>
      <w:pPr>
        <w:pStyle w:val="Heading2"/>
      </w:pPr>
      <w:r>
        <w:t>Title options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title</w:t>
            </w:r>
          </w:p>
        </w:tc>
        <w:tc>
          <w:tcPr>
            <w:tcW w:type="dxa" w:w="4680"/>
            <w:vAlign w:val="center"/>
            <w:tcMar>
              <w:top w:w="80" w:type="dxa"/>
              <w:start w:w="120" w:type="dxa"/>
              <w:bottom w:w="80" w:type="dxa"/>
              <w:end w:w="120" w:type="dxa"/>
            </w:tcMar>
            <w:shd w:fill="F2F4F7"/>
          </w:tcPr>
          <w:p>
            <w:pPr>
              <w:spacing w:after="0"/>
            </w:pPr>
            <w:r>
              <w:rPr>
                <w:rFonts w:ascii="Calibri" w:hAnsi="Calibri"/>
                <w:b/>
                <w:sz w:val="16"/>
              </w:rPr>
              <w:t>comment</w:t>
            </w:r>
          </w:p>
        </w:tc>
      </w:tr>
      <w:tr>
        <w:tc>
          <w:tcPr>
            <w:tcW w:type="dxa" w:w="4680"/>
            <w:vAlign w:val="center"/>
            <w:tcMar>
              <w:top w:w="80" w:type="dxa"/>
              <w:start w:w="120" w:type="dxa"/>
              <w:bottom w:w="80" w:type="dxa"/>
              <w:end w:w="120" w:type="dxa"/>
            </w:tcMar>
          </w:tcPr>
          <w:p>
            <w:pPr>
              <w:spacing w:after="0"/>
            </w:pPr>
            <w:r>
              <w:rPr>
                <w:rFonts w:ascii="Calibri" w:hAnsi="Calibri"/>
                <w:sz w:val="16"/>
              </w:rPr>
              <w:t>Public-subset Cross-dataset Validation and Calibration Transfer of Deep Learning Models for Multi-label Chest Radiograph Classification</w:t>
            </w:r>
          </w:p>
        </w:tc>
        <w:tc>
          <w:tcPr>
            <w:tcW w:type="dxa" w:w="4680"/>
            <w:vAlign w:val="center"/>
            <w:tcMar>
              <w:top w:w="80" w:type="dxa"/>
              <w:start w:w="120" w:type="dxa"/>
              <w:bottom w:w="80" w:type="dxa"/>
              <w:end w:w="120" w:type="dxa"/>
            </w:tcMar>
          </w:tcPr>
          <w:p>
            <w:pPr>
              <w:spacing w:after="0"/>
            </w:pPr>
            <w:r>
              <w:rPr>
                <w:rFonts w:ascii="Calibri" w:hAnsi="Calibri"/>
                <w:sz w:val="16"/>
              </w:rPr>
              <w:t>Recommended. It is concise, states public-subset scope, and includes calibration transfer without implying clinical deployment.</w:t>
            </w:r>
          </w:p>
        </w:tc>
      </w:tr>
      <w:tr>
        <w:tc>
          <w:tcPr>
            <w:tcW w:type="dxa" w:w="4680"/>
            <w:vAlign w:val="center"/>
            <w:tcMar>
              <w:top w:w="80" w:type="dxa"/>
              <w:start w:w="120" w:type="dxa"/>
              <w:bottom w:w="80" w:type="dxa"/>
              <w:end w:w="120" w:type="dxa"/>
            </w:tcMar>
          </w:tcPr>
          <w:p>
            <w:pPr>
              <w:spacing w:after="0"/>
            </w:pPr>
            <w:r>
              <w:rPr>
                <w:rFonts w:ascii="Calibri" w:hAnsi="Calibri"/>
                <w:sz w:val="16"/>
              </w:rPr>
              <w:t>Cross-dataset Discrimination, Calibration Transfer, and Failure-mode Saliency in Public-subset Chest Radiograph Classification</w:t>
            </w:r>
          </w:p>
        </w:tc>
        <w:tc>
          <w:tcPr>
            <w:tcW w:type="dxa" w:w="4680"/>
            <w:vAlign w:val="center"/>
            <w:tcMar>
              <w:top w:w="80" w:type="dxa"/>
              <w:start w:w="120" w:type="dxa"/>
              <w:bottom w:w="80" w:type="dxa"/>
              <w:end w:w="120" w:type="dxa"/>
            </w:tcMar>
          </w:tcPr>
          <w:p>
            <w:pPr>
              <w:spacing w:after="0"/>
            </w:pPr>
            <w:r>
              <w:rPr>
                <w:rFonts w:ascii="Calibri" w:hAnsi="Calibri"/>
                <w:sz w:val="16"/>
              </w:rPr>
              <w:t>Balanced option with strong emphasis on the three central analyses.</w:t>
            </w:r>
          </w:p>
        </w:tc>
      </w:tr>
      <w:tr>
        <w:tc>
          <w:tcPr>
            <w:tcW w:type="dxa" w:w="4680"/>
            <w:vAlign w:val="center"/>
            <w:tcMar>
              <w:top w:w="80" w:type="dxa"/>
              <w:start w:w="120" w:type="dxa"/>
              <w:bottom w:w="80" w:type="dxa"/>
              <w:end w:w="120" w:type="dxa"/>
            </w:tcMar>
          </w:tcPr>
          <w:p>
            <w:pPr>
              <w:spacing w:after="0"/>
            </w:pPr>
            <w:r>
              <w:rPr>
                <w:rFonts w:ascii="Calibri" w:hAnsi="Calibri"/>
                <w:sz w:val="16"/>
              </w:rPr>
              <w:t>From NIH ChestX-ray14 to a VinDr-derived External Subset: Public-subset Validation of Chest Radiograph Classifiers</w:t>
            </w:r>
          </w:p>
        </w:tc>
        <w:tc>
          <w:tcPr>
            <w:tcW w:type="dxa" w:w="4680"/>
            <w:vAlign w:val="center"/>
            <w:tcMar>
              <w:top w:w="80" w:type="dxa"/>
              <w:start w:w="120" w:type="dxa"/>
              <w:bottom w:w="80" w:type="dxa"/>
              <w:end w:w="120" w:type="dxa"/>
            </w:tcMar>
          </w:tcPr>
          <w:p>
            <w:pPr>
              <w:spacing w:after="0"/>
            </w:pPr>
            <w:r>
              <w:rPr>
                <w:rFonts w:ascii="Calibri" w:hAnsi="Calibri"/>
                <w:sz w:val="16"/>
              </w:rPr>
              <w:t>Dataset-forward option, useful for applied medical imaging journals.</w:t>
            </w:r>
          </w:p>
        </w:tc>
      </w:tr>
      <w:tr>
        <w:tc>
          <w:tcPr>
            <w:tcW w:type="dxa" w:w="4680"/>
            <w:vAlign w:val="center"/>
            <w:tcMar>
              <w:top w:w="80" w:type="dxa"/>
              <w:start w:w="120" w:type="dxa"/>
              <w:bottom w:w="80" w:type="dxa"/>
              <w:end w:w="120" w:type="dxa"/>
            </w:tcMar>
          </w:tcPr>
          <w:p>
            <w:pPr>
              <w:spacing w:after="0"/>
            </w:pPr>
            <w:r>
              <w:rPr>
                <w:rFonts w:ascii="Calibri" w:hAnsi="Calibri"/>
                <w:sz w:val="16"/>
              </w:rPr>
              <w:t>Calibration Transfer and Grad-CAM++ Failure-mode Review in Public-subset Chest Radiograph AI Validation</w:t>
            </w:r>
          </w:p>
        </w:tc>
        <w:tc>
          <w:tcPr>
            <w:tcW w:type="dxa" w:w="4680"/>
            <w:vAlign w:val="center"/>
            <w:tcMar>
              <w:top w:w="80" w:type="dxa"/>
              <w:start w:w="120" w:type="dxa"/>
              <w:bottom w:w="80" w:type="dxa"/>
              <w:end w:w="120" w:type="dxa"/>
            </w:tcMar>
          </w:tcPr>
          <w:p>
            <w:pPr>
              <w:spacing w:after="0"/>
            </w:pPr>
            <w:r>
              <w:rPr>
                <w:rFonts w:ascii="Calibri" w:hAnsi="Calibri"/>
                <w:sz w:val="16"/>
              </w:rPr>
              <w:t>Highlights calibration and saliency but is less explicit about architecture comparison.</w:t>
            </w:r>
          </w:p>
        </w:tc>
      </w:tr>
      <w:tr>
        <w:tc>
          <w:tcPr>
            <w:tcW w:type="dxa" w:w="4680"/>
            <w:vAlign w:val="center"/>
            <w:tcMar>
              <w:top w:w="80" w:type="dxa"/>
              <w:start w:w="120" w:type="dxa"/>
              <w:bottom w:w="80" w:type="dxa"/>
              <w:end w:w="120" w:type="dxa"/>
            </w:tcMar>
          </w:tcPr>
          <w:p>
            <w:pPr>
              <w:spacing w:after="0"/>
            </w:pPr>
            <w:r>
              <w:rPr>
                <w:rFonts w:ascii="Calibri" w:hAnsi="Calibri"/>
                <w:sz w:val="16"/>
              </w:rPr>
              <w:t>Generalizability and Calibration of Multi-label Chest Radiograph Classifiers in Selected Public NIH and VinDr-derived Subsets</w:t>
            </w:r>
          </w:p>
        </w:tc>
        <w:tc>
          <w:tcPr>
            <w:tcW w:type="dxa" w:w="4680"/>
            <w:vAlign w:val="center"/>
            <w:tcMar>
              <w:top w:w="80" w:type="dxa"/>
              <w:start w:w="120" w:type="dxa"/>
              <w:bottom w:w="80" w:type="dxa"/>
              <w:end w:w="120" w:type="dxa"/>
            </w:tcMar>
          </w:tcPr>
          <w:p>
            <w:pPr>
              <w:spacing w:after="0"/>
            </w:pPr>
            <w:r>
              <w:rPr>
                <w:rFonts w:ascii="Calibri" w:hAnsi="Calibri"/>
                <w:sz w:val="16"/>
              </w:rPr>
              <w:t>Short and cautious, though less specific about Grad-CAM++.</w:t>
            </w:r>
          </w:p>
        </w:tc>
      </w:tr>
    </w:tbl>
    <w:p>
      <w:pPr>
        <w:pStyle w:val="Heading1"/>
      </w:pPr>
      <w:r>
        <w:t>Final abstract</w:t>
      </w:r>
    </w:p>
    <w:p>
      <w:r>
        <w:t>Background: Chest radiograph classifiers are vulnerable to dataset shift, case-mix differences, label-source heterogeneity, and imperfect probability calibration. Cross-dataset validation should therefore evaluate discrimination, prevalence-aware precision-recall behavior, calibration transfer, and qualitative failure modes without implying clinical readiness.</w:t>
      </w:r>
    </w:p>
    <w:p>
      <w:r>
        <w:t>Methods: We conducted a retrospective public-dataset machine-learning validation study using a selected NIH ChestX-ray14 public parquet subset as the development dataset and a VinDr-CXR/VinBigData-derived public PNG subset as independent external validation. The NIH subset contained 5000 images from 3795 patients and was split at patient level into training, validation, calibration, and internal-test partitions. The external subset contained 1000 images. DenseNet121 was the prespecified main model, and ResNet50 and EfficientNet-B0 were architecture comparators. Per-label thresholds were selected only by maximizing F1 on the NIH validation split, and temperature scaling, Platt scaling, and isotonic regression were fitted only on the NIH calibration split.</w:t>
      </w:r>
    </w:p>
    <w:p>
      <w:r>
        <w:t>Results: DenseNet121 achieved internal all-label macro AUROC/AUPRC of 0.680/0.214. On the external-evaluable label set, NIH internal macro AUROC/AUPRC were 0.667/0.269, whereas the external nonzero-prevalence macro AUROC/AUPRC were 0.743/0.434. ResNet50 and EfficientNet-B0 external nonzero-prevalence macro AUROC/AUPRC were 0.728/0.418 and 0.656/0.370, respectively. Edema and Pneumonia had zero external positives and were not used for external discrimination claims. DenseNet121 internal uncalibrated macro Brier score, ECE, MCE, slope, and intercept were 0.193, 0.269, 0.539, 0.633, and -2.285. Calibration effects were method-dependent. Grad-CAM++ was used for qualitative failure-mode review of true-positive, false-positive, false-negative, and true-negative examples.</w:t>
      </w:r>
    </w:p>
    <w:p>
      <w:r>
        <w:t>Conclusions: This study provides an auditable public-subset framework for evaluating cross-dataset discrimination, calibration transfer, architecture comparators, and failure-mode saliency in multi-label chest radiograph classification. The results do not establish full official-cohort performance or clinical readiness.</w:t>
      </w:r>
    </w:p>
    <w:p>
      <w:pPr>
        <w:pStyle w:val="Heading1"/>
      </w:pPr>
      <w:r>
        <w:t>Final polished manuscript sections</w:t>
      </w:r>
    </w:p>
    <w:p>
      <w:r>
        <w:t>The polished manuscript sections are included in CXR_Manuscript_SCI_Submission_Final_15.docx.</w:t>
      </w:r>
    </w:p>
    <w:p>
      <w:pPr>
        <w:pStyle w:val="Heading1"/>
      </w:pPr>
      <w:r>
        <w:t>Main table revision plan</w:t>
      </w:r>
    </w:p>
    <w:p>
      <w:pPr>
        <w:pStyle w:val="Heading2"/>
      </w:pPr>
      <w:r>
        <w:t>Main table plan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6"/>
              </w:rPr>
              <w:t>table_name</w:t>
            </w:r>
          </w:p>
        </w:tc>
        <w:tc>
          <w:tcPr>
            <w:tcW w:type="dxa" w:w="1872"/>
            <w:vAlign w:val="center"/>
            <w:tcMar>
              <w:top w:w="80" w:type="dxa"/>
              <w:start w:w="120" w:type="dxa"/>
              <w:bottom w:w="80" w:type="dxa"/>
              <w:end w:w="120" w:type="dxa"/>
            </w:tcMar>
            <w:shd w:fill="F2F4F7"/>
          </w:tcPr>
          <w:p>
            <w:pPr>
              <w:spacing w:after="0"/>
            </w:pPr>
            <w:r>
              <w:rPr>
                <w:rFonts w:ascii="Calibri" w:hAnsi="Calibri"/>
                <w:b/>
                <w:sz w:val="16"/>
              </w:rPr>
              <w:t>purpose</w:t>
            </w:r>
          </w:p>
        </w:tc>
        <w:tc>
          <w:tcPr>
            <w:tcW w:type="dxa" w:w="1872"/>
            <w:vAlign w:val="center"/>
            <w:tcMar>
              <w:top w:w="80" w:type="dxa"/>
              <w:start w:w="120" w:type="dxa"/>
              <w:bottom w:w="80" w:type="dxa"/>
              <w:end w:w="120" w:type="dxa"/>
            </w:tcMar>
            <w:shd w:fill="F2F4F7"/>
          </w:tcPr>
          <w:p>
            <w:pPr>
              <w:spacing w:after="0"/>
            </w:pPr>
            <w:r>
              <w:rPr>
                <w:rFonts w:ascii="Calibri" w:hAnsi="Calibri"/>
                <w:b/>
                <w:sz w:val="16"/>
              </w:rPr>
              <w:t>recommended_columns</w:t>
            </w:r>
          </w:p>
        </w:tc>
        <w:tc>
          <w:tcPr>
            <w:tcW w:type="dxa" w:w="1872"/>
            <w:vAlign w:val="center"/>
            <w:tcMar>
              <w:top w:w="80" w:type="dxa"/>
              <w:start w:w="120" w:type="dxa"/>
              <w:bottom w:w="80" w:type="dxa"/>
              <w:end w:w="120" w:type="dxa"/>
            </w:tcMar>
            <w:shd w:fill="F2F4F7"/>
          </w:tcPr>
          <w:p>
            <w:pPr>
              <w:spacing w:after="0"/>
            </w:pPr>
            <w:r>
              <w:rPr>
                <w:rFonts w:ascii="Calibri" w:hAnsi="Calibri"/>
                <w:b/>
                <w:sz w:val="16"/>
              </w:rPr>
              <w:t>placement</w:t>
            </w:r>
          </w:p>
        </w:tc>
        <w:tc>
          <w:tcPr>
            <w:tcW w:type="dxa" w:w="1872"/>
            <w:vAlign w:val="center"/>
            <w:tcMar>
              <w:top w:w="80" w:type="dxa"/>
              <w:start w:w="120" w:type="dxa"/>
              <w:bottom w:w="80" w:type="dxa"/>
              <w:end w:w="120" w:type="dxa"/>
            </w:tcMar>
            <w:shd w:fill="F2F4F7"/>
          </w:tcPr>
          <w:p>
            <w:pPr>
              <w:spacing w:after="0"/>
            </w:pPr>
            <w:r>
              <w:rPr>
                <w:rFonts w:ascii="Calibri" w:hAnsi="Calibri"/>
                <w:b/>
                <w:sz w:val="16"/>
              </w:rPr>
              <w:t>interpretation_risk</w:t>
            </w:r>
          </w:p>
        </w:tc>
      </w:tr>
      <w:tr>
        <w:tc>
          <w:tcPr>
            <w:tcW w:type="dxa" w:w="1872"/>
            <w:vAlign w:val="center"/>
            <w:tcMar>
              <w:top w:w="80" w:type="dxa"/>
              <w:start w:w="120" w:type="dxa"/>
              <w:bottom w:w="80" w:type="dxa"/>
              <w:end w:w="120" w:type="dxa"/>
            </w:tcMar>
          </w:tcPr>
          <w:p>
            <w:pPr>
              <w:spacing w:after="0"/>
            </w:pPr>
            <w:r>
              <w:rPr>
                <w:rFonts w:ascii="Calibri" w:hAnsi="Calibri"/>
                <w:sz w:val="16"/>
              </w:rPr>
              <w:t>Table 1. Dataset characteristics and split roles</w:t>
            </w:r>
          </w:p>
        </w:tc>
        <w:tc>
          <w:tcPr>
            <w:tcW w:type="dxa" w:w="1872"/>
            <w:vAlign w:val="center"/>
            <w:tcMar>
              <w:top w:w="80" w:type="dxa"/>
              <w:start w:w="120" w:type="dxa"/>
              <w:bottom w:w="80" w:type="dxa"/>
              <w:end w:w="120" w:type="dxa"/>
            </w:tcMar>
          </w:tcPr>
          <w:p>
            <w:pPr>
              <w:spacing w:after="0"/>
            </w:pPr>
            <w:r>
              <w:rPr>
                <w:rFonts w:ascii="Calibri" w:hAnsi="Calibri"/>
                <w:sz w:val="16"/>
              </w:rPr>
              <w:t>Document dataset role, split sizes, identifier level, and whether each split was used for training, threshold selection, calibration fitting, or final evaluation.</w:t>
            </w:r>
          </w:p>
        </w:tc>
        <w:tc>
          <w:tcPr>
            <w:tcW w:type="dxa" w:w="1872"/>
            <w:vAlign w:val="center"/>
            <w:tcMar>
              <w:top w:w="80" w:type="dxa"/>
              <w:start w:w="120" w:type="dxa"/>
              <w:bottom w:w="80" w:type="dxa"/>
              <w:end w:w="120" w:type="dxa"/>
            </w:tcMar>
          </w:tcPr>
          <w:p>
            <w:pPr>
              <w:spacing w:after="0"/>
            </w:pPr>
            <w:r>
              <w:rPr>
                <w:rFonts w:ascii="Calibri" w:hAnsi="Calibri"/>
                <w:sz w:val="16"/>
              </w:rPr>
              <w:t>dataset; role; split; n_images; n_patients_or_identifiers; split_level; used_for_training; used_for_threshold_selection; used_for_calibration_fitting; used_for_final_evaluation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Do not describe the VinDr-derived subset as full official cohort or patient-level if only image identifiers are reliable.</w:t>
            </w:r>
          </w:p>
        </w:tc>
      </w:tr>
      <w:tr>
        <w:tc>
          <w:tcPr>
            <w:tcW w:type="dxa" w:w="1872"/>
            <w:vAlign w:val="center"/>
            <w:tcMar>
              <w:top w:w="80" w:type="dxa"/>
              <w:start w:w="120" w:type="dxa"/>
              <w:bottom w:w="80" w:type="dxa"/>
              <w:end w:w="120" w:type="dxa"/>
            </w:tcMar>
          </w:tcPr>
          <w:p>
            <w:pPr>
              <w:spacing w:after="0"/>
            </w:pPr>
            <w:r>
              <w:rPr>
                <w:rFonts w:ascii="Calibri" w:hAnsi="Calibri"/>
                <w:sz w:val="16"/>
              </w:rPr>
              <w:t>Table 2. Label harmonization and analysis role</w:t>
            </w:r>
          </w:p>
        </w:tc>
        <w:tc>
          <w:tcPr>
            <w:tcW w:type="dxa" w:w="1872"/>
            <w:vAlign w:val="center"/>
            <w:tcMar>
              <w:top w:w="80" w:type="dxa"/>
              <w:start w:w="120" w:type="dxa"/>
              <w:bottom w:w="80" w:type="dxa"/>
              <w:end w:w="120" w:type="dxa"/>
            </w:tcMar>
          </w:tcPr>
          <w:p>
            <w:pPr>
              <w:spacing w:after="0"/>
            </w:pPr>
            <w:r>
              <w:rPr>
                <w:rFonts w:ascii="Calibri" w:hAnsi="Calibri"/>
                <w:sz w:val="16"/>
              </w:rPr>
              <w:t>Make explicit which labels are externally evaluable and which labels cannot support external claims.</w:t>
            </w:r>
          </w:p>
        </w:tc>
        <w:tc>
          <w:tcPr>
            <w:tcW w:type="dxa" w:w="1872"/>
            <w:vAlign w:val="center"/>
            <w:tcMar>
              <w:top w:w="80" w:type="dxa"/>
              <w:start w:w="120" w:type="dxa"/>
              <w:bottom w:w="80" w:type="dxa"/>
              <w:end w:w="120" w:type="dxa"/>
            </w:tcMar>
          </w:tcPr>
          <w:p>
            <w:pPr>
              <w:spacing w:after="0"/>
            </w:pPr>
            <w:r>
              <w:rPr>
                <w:rFonts w:ascii="Calibri" w:hAnsi="Calibri"/>
                <w:sz w:val="16"/>
              </w:rPr>
              <w:t>harmonized_label; NIH_terms; VinDr_terms; internal_analysis_role; external_positive_cases; external_evaluable; external_claim_status; caution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Edema and Pneumonia must be marked zero-positive externally and not primary external labels.</w:t>
            </w:r>
          </w:p>
        </w:tc>
      </w:tr>
      <w:tr>
        <w:tc>
          <w:tcPr>
            <w:tcW w:type="dxa" w:w="1872"/>
            <w:vAlign w:val="center"/>
            <w:tcMar>
              <w:top w:w="80" w:type="dxa"/>
              <w:start w:w="120" w:type="dxa"/>
              <w:bottom w:w="80" w:type="dxa"/>
              <w:end w:w="120" w:type="dxa"/>
            </w:tcMar>
          </w:tcPr>
          <w:p>
            <w:pPr>
              <w:spacing w:after="0"/>
            </w:pPr>
            <w:r>
              <w:rPr>
                <w:rFonts w:ascii="Calibri" w:hAnsi="Calibri"/>
                <w:sz w:val="16"/>
              </w:rPr>
              <w:t>Table 3. DenseNet121 label-wise internal and external performance</w:t>
            </w:r>
          </w:p>
        </w:tc>
        <w:tc>
          <w:tcPr>
            <w:tcW w:type="dxa" w:w="1872"/>
            <w:vAlign w:val="center"/>
            <w:tcMar>
              <w:top w:w="80" w:type="dxa"/>
              <w:start w:w="120" w:type="dxa"/>
              <w:bottom w:w="80" w:type="dxa"/>
              <w:end w:w="120" w:type="dxa"/>
            </w:tcMar>
          </w:tcPr>
          <w:p>
            <w:pPr>
              <w:spacing w:after="0"/>
            </w:pPr>
            <w:r>
              <w:rPr>
                <w:rFonts w:ascii="Calibri" w:hAnsi="Calibri"/>
                <w:sz w:val="16"/>
              </w:rPr>
              <w:t>Present main-model label-wise discrimination and thresholds.</w:t>
            </w:r>
          </w:p>
        </w:tc>
        <w:tc>
          <w:tcPr>
            <w:tcW w:type="dxa" w:w="1872"/>
            <w:vAlign w:val="center"/>
            <w:tcMar>
              <w:top w:w="80" w:type="dxa"/>
              <w:start w:w="120" w:type="dxa"/>
              <w:bottom w:w="80" w:type="dxa"/>
              <w:end w:w="120" w:type="dxa"/>
            </w:tcMar>
          </w:tcPr>
          <w:p>
            <w:pPr>
              <w:spacing w:after="0"/>
            </w:pPr>
            <w:r>
              <w:rPr>
                <w:rFonts w:ascii="Calibri" w:hAnsi="Calibri"/>
                <w:sz w:val="16"/>
              </w:rPr>
              <w:t>label; validation_threshold; internal_prevalence; external_prevalence; internal_AUROC_95CI; external_AUROC_95CI; internal_AUPRC_95CI; external_AUPRC_95CI; external_status</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External NA values should remain NA; avoid replacing them with zero.</w:t>
            </w:r>
          </w:p>
        </w:tc>
      </w:tr>
      <w:tr>
        <w:tc>
          <w:tcPr>
            <w:tcW w:type="dxa" w:w="1872"/>
            <w:vAlign w:val="center"/>
            <w:tcMar>
              <w:top w:w="80" w:type="dxa"/>
              <w:start w:w="120" w:type="dxa"/>
              <w:bottom w:w="80" w:type="dxa"/>
              <w:end w:w="120" w:type="dxa"/>
            </w:tcMar>
          </w:tcPr>
          <w:p>
            <w:pPr>
              <w:spacing w:after="0"/>
            </w:pPr>
            <w:r>
              <w:rPr>
                <w:rFonts w:ascii="Calibri" w:hAnsi="Calibri"/>
                <w:sz w:val="16"/>
              </w:rPr>
              <w:t>Table 4. Macro-level architecture comparison</w:t>
            </w:r>
          </w:p>
        </w:tc>
        <w:tc>
          <w:tcPr>
            <w:tcW w:type="dxa" w:w="1872"/>
            <w:vAlign w:val="center"/>
            <w:tcMar>
              <w:top w:w="80" w:type="dxa"/>
              <w:start w:w="120" w:type="dxa"/>
              <w:bottom w:w="80" w:type="dxa"/>
              <w:end w:w="120" w:type="dxa"/>
            </w:tcMar>
          </w:tcPr>
          <w:p>
            <w:pPr>
              <w:spacing w:after="0"/>
            </w:pPr>
            <w:r>
              <w:rPr>
                <w:rFonts w:ascii="Calibri" w:hAnsi="Calibri"/>
                <w:sz w:val="16"/>
              </w:rPr>
              <w:t>Compare DenseNet121 with ResNet50 and EfficientNet-B0 at macro level.</w:t>
            </w:r>
          </w:p>
        </w:tc>
        <w:tc>
          <w:tcPr>
            <w:tcW w:type="dxa" w:w="1872"/>
            <w:vAlign w:val="center"/>
            <w:tcMar>
              <w:top w:w="80" w:type="dxa"/>
              <w:start w:w="120" w:type="dxa"/>
              <w:bottom w:w="80" w:type="dxa"/>
              <w:end w:w="120" w:type="dxa"/>
            </w:tcMar>
          </w:tcPr>
          <w:p>
            <w:pPr>
              <w:spacing w:after="0"/>
            </w:pPr>
            <w:r>
              <w:rPr>
                <w:rFonts w:ascii="Calibri" w:hAnsi="Calibri"/>
                <w:sz w:val="16"/>
              </w:rPr>
              <w:t>model; internal_all_label_macro_AUROC; internal_all_label_macro_AUPRC; internal_external_evaluable_macro_AUROC; internal_external_evaluable_macro_AUPRC; external_nonzero_prevalence_macro_AUROC; external_nonzero_prevalence_macro_AUPRC</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Describe model comparisons as descriptive unless paired bootstrap supports a narrow claim.</w:t>
            </w:r>
          </w:p>
        </w:tc>
      </w:tr>
      <w:tr>
        <w:tc>
          <w:tcPr>
            <w:tcW w:type="dxa" w:w="1872"/>
            <w:vAlign w:val="center"/>
            <w:tcMar>
              <w:top w:w="80" w:type="dxa"/>
              <w:start w:w="120" w:type="dxa"/>
              <w:bottom w:w="80" w:type="dxa"/>
              <w:end w:w="120" w:type="dxa"/>
            </w:tcMar>
          </w:tcPr>
          <w:p>
            <w:pPr>
              <w:spacing w:after="0"/>
            </w:pPr>
            <w:r>
              <w:rPr>
                <w:rFonts w:ascii="Calibri" w:hAnsi="Calibri"/>
                <w:sz w:val="16"/>
              </w:rPr>
              <w:t>Table 5. Calibration metrics before and after NIH-fitted calibration</w:t>
            </w:r>
          </w:p>
        </w:tc>
        <w:tc>
          <w:tcPr>
            <w:tcW w:type="dxa" w:w="1872"/>
            <w:vAlign w:val="center"/>
            <w:tcMar>
              <w:top w:w="80" w:type="dxa"/>
              <w:start w:w="120" w:type="dxa"/>
              <w:bottom w:w="80" w:type="dxa"/>
              <w:end w:w="120" w:type="dxa"/>
            </w:tcMar>
          </w:tcPr>
          <w:p>
            <w:pPr>
              <w:spacing w:after="0"/>
            </w:pPr>
            <w:r>
              <w:rPr>
                <w:rFonts w:ascii="Calibri" w:hAnsi="Calibri"/>
                <w:sz w:val="16"/>
              </w:rPr>
              <w:t>Report calibration transfer across uncalibrated, temperature, Platt, and isotonic outputs.</w:t>
            </w:r>
          </w:p>
        </w:tc>
        <w:tc>
          <w:tcPr>
            <w:tcW w:type="dxa" w:w="1872"/>
            <w:vAlign w:val="center"/>
            <w:tcMar>
              <w:top w:w="80" w:type="dxa"/>
              <w:start w:w="120" w:type="dxa"/>
              <w:bottom w:w="80" w:type="dxa"/>
              <w:end w:w="120" w:type="dxa"/>
            </w:tcMar>
          </w:tcPr>
          <w:p>
            <w:pPr>
              <w:spacing w:after="0"/>
            </w:pPr>
            <w:r>
              <w:rPr>
                <w:rFonts w:ascii="Calibri" w:hAnsi="Calibri"/>
                <w:sz w:val="16"/>
              </w:rPr>
              <w:t>dataset; calibration_method; Brier_score; ECE; MCE; calibration_slope; calibration_intercept; external_fitting_used; interpretation</w:t>
            </w:r>
          </w:p>
        </w:tc>
        <w:tc>
          <w:tcPr>
            <w:tcW w:type="dxa" w:w="1872"/>
            <w:vAlign w:val="center"/>
            <w:tcMar>
              <w:top w:w="80" w:type="dxa"/>
              <w:start w:w="120" w:type="dxa"/>
              <w:bottom w:w="80" w:type="dxa"/>
              <w:end w:w="120" w:type="dxa"/>
            </w:tcMar>
          </w:tcPr>
          <w:p>
            <w:pPr>
              <w:spacing w:after="0"/>
            </w:pPr>
            <w:r>
              <w:rPr>
                <w:rFonts w:ascii="Calibri" w:hAnsi="Calibri"/>
                <w:sz w:val="16"/>
              </w:rPr>
              <w:t>Main text</w:t>
            </w:r>
          </w:p>
        </w:tc>
        <w:tc>
          <w:tcPr>
            <w:tcW w:type="dxa" w:w="1872"/>
            <w:vAlign w:val="center"/>
            <w:tcMar>
              <w:top w:w="80" w:type="dxa"/>
              <w:start w:w="120" w:type="dxa"/>
              <w:bottom w:w="80" w:type="dxa"/>
              <w:end w:w="120" w:type="dxa"/>
            </w:tcMar>
          </w:tcPr>
          <w:p>
            <w:pPr>
              <w:spacing w:after="0"/>
            </w:pPr>
            <w:r>
              <w:rPr>
                <w:rFonts w:ascii="Calibri" w:hAnsi="Calibri"/>
                <w:sz w:val="16"/>
              </w:rPr>
              <w:t>Do not say calibration improved globally; effects are method-dependent.</w:t>
            </w:r>
          </w:p>
        </w:tc>
      </w:tr>
      <w:tr>
        <w:tc>
          <w:tcPr>
            <w:tcW w:type="dxa" w:w="1872"/>
            <w:vAlign w:val="center"/>
            <w:tcMar>
              <w:top w:w="80" w:type="dxa"/>
              <w:start w:w="120" w:type="dxa"/>
              <w:bottom w:w="80" w:type="dxa"/>
              <w:end w:w="120" w:type="dxa"/>
            </w:tcMar>
          </w:tcPr>
          <w:p>
            <w:pPr>
              <w:spacing w:after="0"/>
            </w:pPr>
            <w:r>
              <w:rPr>
                <w:rFonts w:ascii="Calibri" w:hAnsi="Calibri"/>
                <w:sz w:val="16"/>
              </w:rPr>
              <w:t>Table 6. Descriptive subgroup and sensitivity analysis</w:t>
            </w:r>
          </w:p>
        </w:tc>
        <w:tc>
          <w:tcPr>
            <w:tcW w:type="dxa" w:w="1872"/>
            <w:vAlign w:val="center"/>
            <w:tcMar>
              <w:top w:w="80" w:type="dxa"/>
              <w:start w:w="120" w:type="dxa"/>
              <w:bottom w:w="80" w:type="dxa"/>
              <w:end w:w="120" w:type="dxa"/>
            </w:tcMar>
          </w:tcPr>
          <w:p>
            <w:pPr>
              <w:spacing w:after="0"/>
            </w:pPr>
            <w:r>
              <w:rPr>
                <w:rFonts w:ascii="Calibri" w:hAnsi="Calibri"/>
                <w:sz w:val="16"/>
              </w:rPr>
              <w:t>Summarize available subgroup and sensitivity analyses.</w:t>
            </w:r>
          </w:p>
        </w:tc>
        <w:tc>
          <w:tcPr>
            <w:tcW w:type="dxa" w:w="1872"/>
            <w:vAlign w:val="center"/>
            <w:tcMar>
              <w:top w:w="80" w:type="dxa"/>
              <w:start w:w="120" w:type="dxa"/>
              <w:bottom w:w="80" w:type="dxa"/>
              <w:end w:w="120" w:type="dxa"/>
            </w:tcMar>
          </w:tcPr>
          <w:p>
            <w:pPr>
              <w:spacing w:after="0"/>
            </w:pPr>
            <w:r>
              <w:rPr>
                <w:rFonts w:ascii="Calibri" w:hAnsi="Calibri"/>
                <w:sz w:val="16"/>
              </w:rPr>
              <w:t>dataset; subgroup_variable; subgroup; n_images; n_patients_or_identifiers; macro_AUROC; macro_AUPRC; analysis_status</w:t>
            </w:r>
          </w:p>
        </w:tc>
        <w:tc>
          <w:tcPr>
            <w:tcW w:type="dxa" w:w="1872"/>
            <w:vAlign w:val="center"/>
            <w:tcMar>
              <w:top w:w="80" w:type="dxa"/>
              <w:start w:w="120" w:type="dxa"/>
              <w:bottom w:w="80" w:type="dxa"/>
              <w:end w:w="120" w:type="dxa"/>
            </w:tcMar>
          </w:tcPr>
          <w:p>
            <w:pPr>
              <w:spacing w:after="0"/>
            </w:pPr>
            <w:r>
              <w:rPr>
                <w:rFonts w:ascii="Calibri" w:hAnsi="Calibri"/>
                <w:sz w:val="16"/>
              </w:rPr>
              <w:t>Main text or supplement depending on journal space</w:t>
            </w:r>
          </w:p>
        </w:tc>
        <w:tc>
          <w:tcPr>
            <w:tcW w:type="dxa" w:w="1872"/>
            <w:vAlign w:val="center"/>
            <w:tcMar>
              <w:top w:w="80" w:type="dxa"/>
              <w:start w:w="120" w:type="dxa"/>
              <w:bottom w:w="80" w:type="dxa"/>
              <w:end w:w="120" w:type="dxa"/>
            </w:tcMar>
          </w:tcPr>
          <w:p>
            <w:pPr>
              <w:spacing w:after="0"/>
            </w:pPr>
            <w:r>
              <w:rPr>
                <w:rFonts w:ascii="Calibri" w:hAnsi="Calibri"/>
                <w:sz w:val="16"/>
              </w:rPr>
              <w:t>Do not infer fairness from underpowered descriptive subgroups.</w:t>
            </w:r>
          </w:p>
        </w:tc>
      </w:tr>
    </w:tbl>
    <w:p>
      <w:pPr>
        <w:pStyle w:val="Heading1"/>
      </w:pPr>
      <w:r>
        <w:t>Final figure captions</w:t>
      </w:r>
    </w:p>
    <w:p>
      <w:pPr>
        <w:pStyle w:val="Heading2"/>
      </w:pPr>
      <w:r>
        <w:t>Figure 1. Study workflow</w:t>
      </w:r>
    </w:p>
    <w:p>
      <w:r>
        <w:t>Study workflow for public-subset cross-dataset validation. A selected NIH ChestX-ray14 public parquet subset was used for development and split at patient level into training, validation, calibration, and internal-test partitions. The validation split was used for checkpoint and threshold selection, the NIH calibration split was used for post-hoc calibration fitting, and the internal-test split was used for held-out evaluation. A selected VinDr-CXR/VinBigData-derived public PNG subset was used only as independent external validation.</w:t>
      </w:r>
    </w:p>
    <w:p>
      <w:pPr>
        <w:pStyle w:val="Heading2"/>
      </w:pPr>
      <w:r>
        <w:t>Figure 2. DenseNet121 internal and external AUROC/AUPRC</w:t>
      </w:r>
    </w:p>
    <w:p>
      <w:r>
        <w:t>Label-wise DenseNet121 discrimination on NIH internal testing and the selected VinDr-derived external subset. Points and horizontal bars show point estimates and 95% bootstrap intervals. Edema and Pneumonia are marked not applicable externally because the analyzed external subset contained zero positive cases for these labels. Macro summaries were calculated separately for all internal labels and for the external-evaluable label set.</w:t>
      </w:r>
    </w:p>
    <w:p>
      <w:pPr>
        <w:pStyle w:val="Heading2"/>
      </w:pPr>
      <w:r>
        <w:t>Figure 3. AUPRC baseline and lift</w:t>
      </w:r>
    </w:p>
    <w:p>
      <w:r>
        <w:t>Prevalence-aware AUPRC interpretation. The prevalence baseline is the observed positive-label prevalence, and AUPRC lift is defined as AUPRC divided by prevalence. This panel contextualizes precision-recall behavior under class imbalance; external AUPRC should not be interpreted without considering the external prevalence distribution.</w:t>
      </w:r>
    </w:p>
    <w:p>
      <w:pPr>
        <w:pStyle w:val="Heading2"/>
      </w:pPr>
      <w:r>
        <w:t>Figure 4. Calibration curves</w:t>
      </w:r>
    </w:p>
    <w:p>
      <w:r>
        <w:t>Reliability curves for uncalibrated predictions and NIH-fitted temperature scaling, Platt scaling, and isotonic regression. Calibration methods were fitted only on the NIH calibration split and evaluated on NIH internal-test and selected VinDr external predictions. ECE should be interpreted together with Brier score, MCE, calibration slope, and calibration intercept.</w:t>
      </w:r>
    </w:p>
    <w:p>
      <w:pPr>
        <w:pStyle w:val="Heading2"/>
      </w:pPr>
      <w:r>
        <w:t>Figure 5. Grad-CAM++ failure-mode panels</w:t>
      </w:r>
    </w:p>
    <w:p>
      <w:r>
        <w:t>Representative Grad-CAM++ panels for true-positive, false-positive, false-negative, and true-negative predictions from internal and external evaluation. These heatmaps are qualitative failure-mode saliency examples only; they are not localization ground truth and do not demonstrate radiologist-like reasoning.</w:t>
      </w:r>
    </w:p>
    <w:p>
      <w:pPr>
        <w:pStyle w:val="Heading2"/>
      </w:pPr>
      <w:r>
        <w:t>Figure 6. Internal-minus-external AUROC difference</w:t>
      </w:r>
    </w:p>
    <w:p>
      <w:r>
        <w:t>Internal-minus-external AUROC differences for externally evaluable labels. Negative values indicate numerically higher AUROC in the selected external subset. Interpretation is affected by selected subset composition, prevalence, case mix, and label-source heterogeneity.</w:t>
      </w:r>
    </w:p>
    <w:p>
      <w:pPr>
        <w:pStyle w:val="Heading1"/>
      </w:pPr>
      <w:r>
        <w:t>Supplementary material structure</w:t>
      </w:r>
    </w:p>
    <w:p>
      <w:pPr>
        <w:pStyle w:val="Heading2"/>
      </w:pPr>
      <w:r>
        <w:t>Supplementary table plan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6"/>
              </w:rPr>
              <w:t>table_name</w:t>
            </w:r>
          </w:p>
        </w:tc>
        <w:tc>
          <w:tcPr>
            <w:tcW w:type="dxa" w:w="1872"/>
            <w:vAlign w:val="center"/>
            <w:tcMar>
              <w:top w:w="80" w:type="dxa"/>
              <w:start w:w="120" w:type="dxa"/>
              <w:bottom w:w="80" w:type="dxa"/>
              <w:end w:w="120" w:type="dxa"/>
            </w:tcMar>
            <w:shd w:fill="F2F4F7"/>
          </w:tcPr>
          <w:p>
            <w:pPr>
              <w:spacing w:after="0"/>
            </w:pPr>
            <w:r>
              <w:rPr>
                <w:rFonts w:ascii="Calibri" w:hAnsi="Calibri"/>
                <w:b/>
                <w:sz w:val="16"/>
              </w:rPr>
              <w:t>purpose</w:t>
            </w:r>
          </w:p>
        </w:tc>
        <w:tc>
          <w:tcPr>
            <w:tcW w:type="dxa" w:w="1872"/>
            <w:vAlign w:val="center"/>
            <w:tcMar>
              <w:top w:w="80" w:type="dxa"/>
              <w:start w:w="120" w:type="dxa"/>
              <w:bottom w:w="80" w:type="dxa"/>
              <w:end w:w="120" w:type="dxa"/>
            </w:tcMar>
            <w:shd w:fill="F2F4F7"/>
          </w:tcPr>
          <w:p>
            <w:pPr>
              <w:spacing w:after="0"/>
            </w:pPr>
            <w:r>
              <w:rPr>
                <w:rFonts w:ascii="Calibri" w:hAnsi="Calibri"/>
                <w:b/>
                <w:sz w:val="16"/>
              </w:rPr>
              <w:t>recommended_columns</w:t>
            </w:r>
          </w:p>
        </w:tc>
        <w:tc>
          <w:tcPr>
            <w:tcW w:type="dxa" w:w="1872"/>
            <w:vAlign w:val="center"/>
            <w:tcMar>
              <w:top w:w="80" w:type="dxa"/>
              <w:start w:w="120" w:type="dxa"/>
              <w:bottom w:w="80" w:type="dxa"/>
              <w:end w:w="120" w:type="dxa"/>
            </w:tcMar>
            <w:shd w:fill="F2F4F7"/>
          </w:tcPr>
          <w:p>
            <w:pPr>
              <w:spacing w:after="0"/>
            </w:pPr>
            <w:r>
              <w:rPr>
                <w:rFonts w:ascii="Calibri" w:hAnsi="Calibri"/>
                <w:b/>
                <w:sz w:val="16"/>
              </w:rPr>
              <w:t>placement</w:t>
            </w:r>
          </w:p>
        </w:tc>
        <w:tc>
          <w:tcPr>
            <w:tcW w:type="dxa" w:w="1872"/>
            <w:vAlign w:val="center"/>
            <w:tcMar>
              <w:top w:w="80" w:type="dxa"/>
              <w:start w:w="120" w:type="dxa"/>
              <w:bottom w:w="80" w:type="dxa"/>
              <w:end w:w="120" w:type="dxa"/>
            </w:tcMar>
            <w:shd w:fill="F2F4F7"/>
          </w:tcPr>
          <w:p>
            <w:pPr>
              <w:spacing w:after="0"/>
            </w:pPr>
            <w:r>
              <w:rPr>
                <w:rFonts w:ascii="Calibri" w:hAnsi="Calibri"/>
                <w:b/>
                <w:sz w:val="16"/>
              </w:rPr>
              <w:t>interpretation_risk</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1. ResNet50 label-wise performance</w:t>
            </w:r>
          </w:p>
        </w:tc>
        <w:tc>
          <w:tcPr>
            <w:tcW w:type="dxa" w:w="1872"/>
            <w:vAlign w:val="center"/>
            <w:tcMar>
              <w:top w:w="80" w:type="dxa"/>
              <w:start w:w="120" w:type="dxa"/>
              <w:bottom w:w="80" w:type="dxa"/>
              <w:end w:w="120" w:type="dxa"/>
            </w:tcMar>
          </w:tcPr>
          <w:p>
            <w:pPr>
              <w:spacing w:after="0"/>
            </w:pPr>
            <w:r>
              <w:rPr>
                <w:rFonts w:ascii="Calibri" w:hAnsi="Calibri"/>
                <w:sz w:val="16"/>
              </w:rPr>
              <w:t>Comparator label-wise metrics.</w:t>
            </w:r>
          </w:p>
        </w:tc>
        <w:tc>
          <w:tcPr>
            <w:tcW w:type="dxa" w:w="1872"/>
            <w:vAlign w:val="center"/>
            <w:tcMar>
              <w:top w:w="80" w:type="dxa"/>
              <w:start w:w="120" w:type="dxa"/>
              <w:bottom w:w="80" w:type="dxa"/>
              <w:end w:w="120" w:type="dxa"/>
            </w:tcMar>
          </w:tcPr>
          <w:p>
            <w:pPr>
              <w:spacing w:after="0"/>
            </w:pPr>
            <w:r>
              <w:rPr>
                <w:rFonts w:ascii="Calibri" w:hAnsi="Calibri"/>
                <w:sz w:val="16"/>
              </w:rPr>
              <w:t>same structure as Table 3</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Comparator evidence only.</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2. EfficientNet-B0 label-wise performance</w:t>
            </w:r>
          </w:p>
        </w:tc>
        <w:tc>
          <w:tcPr>
            <w:tcW w:type="dxa" w:w="1872"/>
            <w:vAlign w:val="center"/>
            <w:tcMar>
              <w:top w:w="80" w:type="dxa"/>
              <w:start w:w="120" w:type="dxa"/>
              <w:bottom w:w="80" w:type="dxa"/>
              <w:end w:w="120" w:type="dxa"/>
            </w:tcMar>
          </w:tcPr>
          <w:p>
            <w:pPr>
              <w:spacing w:after="0"/>
            </w:pPr>
            <w:r>
              <w:rPr>
                <w:rFonts w:ascii="Calibri" w:hAnsi="Calibri"/>
                <w:sz w:val="16"/>
              </w:rPr>
              <w:t>Comparator label-wise metrics.</w:t>
            </w:r>
          </w:p>
        </w:tc>
        <w:tc>
          <w:tcPr>
            <w:tcW w:type="dxa" w:w="1872"/>
            <w:vAlign w:val="center"/>
            <w:tcMar>
              <w:top w:w="80" w:type="dxa"/>
              <w:start w:w="120" w:type="dxa"/>
              <w:bottom w:w="80" w:type="dxa"/>
              <w:end w:w="120" w:type="dxa"/>
            </w:tcMar>
          </w:tcPr>
          <w:p>
            <w:pPr>
              <w:spacing w:after="0"/>
            </w:pPr>
            <w:r>
              <w:rPr>
                <w:rFonts w:ascii="Calibri" w:hAnsi="Calibri"/>
                <w:sz w:val="16"/>
              </w:rPr>
              <w:t>same structure as Table 3</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Comparator evidence only.</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3. Per-label thresholds from NIH validation</w:t>
            </w:r>
          </w:p>
        </w:tc>
        <w:tc>
          <w:tcPr>
            <w:tcW w:type="dxa" w:w="1872"/>
            <w:vAlign w:val="center"/>
            <w:tcMar>
              <w:top w:w="80" w:type="dxa"/>
              <w:start w:w="120" w:type="dxa"/>
              <w:bottom w:w="80" w:type="dxa"/>
              <w:end w:w="120" w:type="dxa"/>
            </w:tcMar>
          </w:tcPr>
          <w:p>
            <w:pPr>
              <w:spacing w:after="0"/>
            </w:pPr>
            <w:r>
              <w:rPr>
                <w:rFonts w:ascii="Calibri" w:hAnsi="Calibri"/>
                <w:sz w:val="16"/>
              </w:rPr>
              <w:t>Record threshold provenance.</w:t>
            </w:r>
          </w:p>
        </w:tc>
        <w:tc>
          <w:tcPr>
            <w:tcW w:type="dxa" w:w="1872"/>
            <w:vAlign w:val="center"/>
            <w:tcMar>
              <w:top w:w="80" w:type="dxa"/>
              <w:start w:w="120" w:type="dxa"/>
              <w:bottom w:w="80" w:type="dxa"/>
              <w:end w:w="120" w:type="dxa"/>
            </w:tcMar>
          </w:tcPr>
          <w:p>
            <w:pPr>
              <w:spacing w:after="0"/>
            </w:pPr>
            <w:r>
              <w:rPr>
                <w:rFonts w:ascii="Calibri" w:hAnsi="Calibri"/>
                <w:sz w:val="16"/>
              </w:rPr>
              <w:t>label; threshold; validation_F1</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Thresholds were not optimized on internal-test or external data.</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4. AUPRC prevalence baseline and lift</w:t>
            </w:r>
          </w:p>
        </w:tc>
        <w:tc>
          <w:tcPr>
            <w:tcW w:type="dxa" w:w="1872"/>
            <w:vAlign w:val="center"/>
            <w:tcMar>
              <w:top w:w="80" w:type="dxa"/>
              <w:start w:w="120" w:type="dxa"/>
              <w:bottom w:w="80" w:type="dxa"/>
              <w:end w:w="120" w:type="dxa"/>
            </w:tcMar>
          </w:tcPr>
          <w:p>
            <w:pPr>
              <w:spacing w:after="0"/>
            </w:pPr>
            <w:r>
              <w:rPr>
                <w:rFonts w:ascii="Calibri" w:hAnsi="Calibri"/>
                <w:sz w:val="16"/>
              </w:rPr>
              <w:t>Prevalence-aware interpretation of AUPRC.</w:t>
            </w:r>
          </w:p>
        </w:tc>
        <w:tc>
          <w:tcPr>
            <w:tcW w:type="dxa" w:w="1872"/>
            <w:vAlign w:val="center"/>
            <w:tcMar>
              <w:top w:w="80" w:type="dxa"/>
              <w:start w:w="120" w:type="dxa"/>
              <w:bottom w:w="80" w:type="dxa"/>
              <w:end w:w="120" w:type="dxa"/>
            </w:tcMar>
          </w:tcPr>
          <w:p>
            <w:pPr>
              <w:spacing w:after="0"/>
            </w:pPr>
            <w:r>
              <w:rPr>
                <w:rFonts w:ascii="Calibri" w:hAnsi="Calibri"/>
                <w:sz w:val="16"/>
              </w:rPr>
              <w:t>model; dataset; label; positives; prevalence; AUPRC; AUPRC_lift; status</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Use to avoid overinterpreting external AUPRC.</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5. Per-label calibration metrics</w:t>
            </w:r>
          </w:p>
        </w:tc>
        <w:tc>
          <w:tcPr>
            <w:tcW w:type="dxa" w:w="1872"/>
            <w:vAlign w:val="center"/>
            <w:tcMar>
              <w:top w:w="80" w:type="dxa"/>
              <w:start w:w="120" w:type="dxa"/>
              <w:bottom w:w="80" w:type="dxa"/>
              <w:end w:w="120" w:type="dxa"/>
            </w:tcMar>
          </w:tcPr>
          <w:p>
            <w:pPr>
              <w:spacing w:after="0"/>
            </w:pPr>
            <w:r>
              <w:rPr>
                <w:rFonts w:ascii="Calibri" w:hAnsi="Calibri"/>
                <w:sz w:val="16"/>
              </w:rPr>
              <w:t>Detailed label-level calibration values.</w:t>
            </w:r>
          </w:p>
        </w:tc>
        <w:tc>
          <w:tcPr>
            <w:tcW w:type="dxa" w:w="1872"/>
            <w:vAlign w:val="center"/>
            <w:tcMar>
              <w:top w:w="80" w:type="dxa"/>
              <w:start w:w="120" w:type="dxa"/>
              <w:bottom w:w="80" w:type="dxa"/>
              <w:end w:w="120" w:type="dxa"/>
            </w:tcMar>
          </w:tcPr>
          <w:p>
            <w:pPr>
              <w:spacing w:after="0"/>
            </w:pPr>
            <w:r>
              <w:rPr>
                <w:rFonts w:ascii="Calibri" w:hAnsi="Calibri"/>
                <w:sz w:val="16"/>
              </w:rPr>
              <w:t>dataset; method; label; Brier; ECE; MCE; slope; intercept</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Sparse labels may have unstable slopes/intercepts.</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6. Paired bootstrap model comparisons</w:t>
            </w:r>
          </w:p>
        </w:tc>
        <w:tc>
          <w:tcPr>
            <w:tcW w:type="dxa" w:w="1872"/>
            <w:vAlign w:val="center"/>
            <w:tcMar>
              <w:top w:w="80" w:type="dxa"/>
              <w:start w:w="120" w:type="dxa"/>
              <w:bottom w:w="80" w:type="dxa"/>
              <w:end w:w="120" w:type="dxa"/>
            </w:tcMar>
          </w:tcPr>
          <w:p>
            <w:pPr>
              <w:spacing w:after="0"/>
            </w:pPr>
            <w:r>
              <w:rPr>
                <w:rFonts w:ascii="Calibri" w:hAnsi="Calibri"/>
                <w:sz w:val="16"/>
              </w:rPr>
              <w:t>Descriptive architecture comparison.</w:t>
            </w:r>
          </w:p>
        </w:tc>
        <w:tc>
          <w:tcPr>
            <w:tcW w:type="dxa" w:w="1872"/>
            <w:vAlign w:val="center"/>
            <w:tcMar>
              <w:top w:w="80" w:type="dxa"/>
              <w:start w:w="120" w:type="dxa"/>
              <w:bottom w:w="80" w:type="dxa"/>
              <w:end w:w="120" w:type="dxa"/>
            </w:tcMar>
          </w:tcPr>
          <w:p>
            <w:pPr>
              <w:spacing w:after="0"/>
            </w:pPr>
            <w:r>
              <w:rPr>
                <w:rFonts w:ascii="Calibri" w:hAnsi="Calibri"/>
                <w:sz w:val="16"/>
              </w:rPr>
              <w:t>dataset; label_set; metric; model_a; model_b; difference; CI; n_bootstrap; interpretation</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Do not convert descriptive bootstrap into a superiority trial.</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7. Hyperparameters and environment</w:t>
            </w:r>
          </w:p>
        </w:tc>
        <w:tc>
          <w:tcPr>
            <w:tcW w:type="dxa" w:w="1872"/>
            <w:vAlign w:val="center"/>
            <w:tcMar>
              <w:top w:w="80" w:type="dxa"/>
              <w:start w:w="120" w:type="dxa"/>
              <w:bottom w:w="80" w:type="dxa"/>
              <w:end w:w="120" w:type="dxa"/>
            </w:tcMar>
          </w:tcPr>
          <w:p>
            <w:pPr>
              <w:spacing w:after="0"/>
            </w:pPr>
            <w:r>
              <w:rPr>
                <w:rFonts w:ascii="Calibri" w:hAnsi="Calibri"/>
                <w:sz w:val="16"/>
              </w:rPr>
              <w:t>Reproducibility of training environment.</w:t>
            </w:r>
          </w:p>
        </w:tc>
        <w:tc>
          <w:tcPr>
            <w:tcW w:type="dxa" w:w="1872"/>
            <w:vAlign w:val="center"/>
            <w:tcMar>
              <w:top w:w="80" w:type="dxa"/>
              <w:start w:w="120" w:type="dxa"/>
              <w:bottom w:w="80" w:type="dxa"/>
              <w:end w:w="120" w:type="dxa"/>
            </w:tcMar>
          </w:tcPr>
          <w:p>
            <w:pPr>
              <w:spacing w:after="0"/>
            </w:pPr>
            <w:r>
              <w:rPr>
                <w:rFonts w:ascii="Calibri" w:hAnsi="Calibri"/>
                <w:sz w:val="16"/>
              </w:rPr>
              <w:t>parameter; value</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Must match logs/config.</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8. Reproducibility commands</w:t>
            </w:r>
          </w:p>
        </w:tc>
        <w:tc>
          <w:tcPr>
            <w:tcW w:type="dxa" w:w="1872"/>
            <w:vAlign w:val="center"/>
            <w:tcMar>
              <w:top w:w="80" w:type="dxa"/>
              <w:start w:w="120" w:type="dxa"/>
              <w:bottom w:w="80" w:type="dxa"/>
              <w:end w:w="120" w:type="dxa"/>
            </w:tcMar>
          </w:tcPr>
          <w:p>
            <w:pPr>
              <w:spacing w:after="0"/>
            </w:pPr>
            <w:r>
              <w:rPr>
                <w:rFonts w:ascii="Calibri" w:hAnsi="Calibri"/>
                <w:sz w:val="16"/>
              </w:rPr>
              <w:t>Rerun commands.</w:t>
            </w:r>
          </w:p>
        </w:tc>
        <w:tc>
          <w:tcPr>
            <w:tcW w:type="dxa" w:w="1872"/>
            <w:vAlign w:val="center"/>
            <w:tcMar>
              <w:top w:w="80" w:type="dxa"/>
              <w:start w:w="120" w:type="dxa"/>
              <w:bottom w:w="80" w:type="dxa"/>
              <w:end w:w="120" w:type="dxa"/>
            </w:tcMar>
          </w:tcPr>
          <w:p>
            <w:pPr>
              <w:spacing w:after="0"/>
            </w:pPr>
            <w:r>
              <w:rPr>
                <w:rFonts w:ascii="Calibri" w:hAnsi="Calibri"/>
                <w:sz w:val="16"/>
              </w:rPr>
              <w:t>step; command</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Keep commands synchronized with repo.</w:t>
            </w:r>
          </w:p>
        </w:tc>
      </w:tr>
      <w:tr>
        <w:tc>
          <w:tcPr>
            <w:tcW w:type="dxa" w:w="1872"/>
            <w:vAlign w:val="center"/>
            <w:tcMar>
              <w:top w:w="80" w:type="dxa"/>
              <w:start w:w="120" w:type="dxa"/>
              <w:bottom w:w="80" w:type="dxa"/>
              <w:end w:w="120" w:type="dxa"/>
            </w:tcMar>
          </w:tcPr>
          <w:p>
            <w:pPr>
              <w:spacing w:after="0"/>
            </w:pPr>
            <w:r>
              <w:rPr>
                <w:rFonts w:ascii="Calibri" w:hAnsi="Calibri"/>
                <w:sz w:val="16"/>
              </w:rPr>
              <w:t>Supplementary Table 9. Dataset-source and license summary</w:t>
            </w:r>
          </w:p>
        </w:tc>
        <w:tc>
          <w:tcPr>
            <w:tcW w:type="dxa" w:w="1872"/>
            <w:vAlign w:val="center"/>
            <w:tcMar>
              <w:top w:w="80" w:type="dxa"/>
              <w:start w:w="120" w:type="dxa"/>
              <w:bottom w:w="80" w:type="dxa"/>
              <w:end w:w="120" w:type="dxa"/>
            </w:tcMar>
          </w:tcPr>
          <w:p>
            <w:pPr>
              <w:spacing w:after="0"/>
            </w:pPr>
            <w:r>
              <w:rPr>
                <w:rFonts w:ascii="Calibri" w:hAnsi="Calibri"/>
                <w:sz w:val="16"/>
              </w:rPr>
              <w:t>Dataset provenance and use constraints.</w:t>
            </w:r>
          </w:p>
        </w:tc>
        <w:tc>
          <w:tcPr>
            <w:tcW w:type="dxa" w:w="1872"/>
            <w:vAlign w:val="center"/>
            <w:tcMar>
              <w:top w:w="80" w:type="dxa"/>
              <w:start w:w="120" w:type="dxa"/>
              <w:bottom w:w="80" w:type="dxa"/>
              <w:end w:w="120" w:type="dxa"/>
            </w:tcMar>
          </w:tcPr>
          <w:p>
            <w:pPr>
              <w:spacing w:after="0"/>
            </w:pPr>
            <w:r>
              <w:rPr>
                <w:rFonts w:ascii="Calibri" w:hAnsi="Calibri"/>
                <w:sz w:val="16"/>
              </w:rPr>
              <w:t>dataset; source; role; license/citation note</w:t>
            </w:r>
          </w:p>
        </w:tc>
        <w:tc>
          <w:tcPr>
            <w:tcW w:type="dxa" w:w="1872"/>
            <w:vAlign w:val="center"/>
            <w:tcMar>
              <w:top w:w="80" w:type="dxa"/>
              <w:start w:w="120" w:type="dxa"/>
              <w:bottom w:w="80" w:type="dxa"/>
              <w:end w:w="120" w:type="dxa"/>
            </w:tcMar>
          </w:tcPr>
          <w:p>
            <w:pPr>
              <w:spacing w:after="0"/>
            </w:pPr>
            <w:r>
              <w:rPr>
                <w:rFonts w:ascii="Calibri" w:hAnsi="Calibri"/>
                <w:sz w:val="16"/>
              </w:rPr>
              <w:t>Supplement</w:t>
            </w:r>
          </w:p>
        </w:tc>
        <w:tc>
          <w:tcPr>
            <w:tcW w:type="dxa" w:w="1872"/>
            <w:vAlign w:val="center"/>
            <w:tcMar>
              <w:top w:w="80" w:type="dxa"/>
              <w:start w:w="120" w:type="dxa"/>
              <w:bottom w:w="80" w:type="dxa"/>
              <w:end w:w="120" w:type="dxa"/>
            </w:tcMar>
          </w:tcPr>
          <w:p>
            <w:pPr>
              <w:spacing w:after="0"/>
            </w:pPr>
            <w:r>
              <w:rPr>
                <w:rFonts w:ascii="Calibri" w:hAnsi="Calibri"/>
                <w:sz w:val="16"/>
              </w:rPr>
              <w:t>Add official links and license text before journal submission.</w:t>
            </w:r>
          </w:p>
        </w:tc>
      </w:tr>
    </w:tbl>
    <w:p>
      <w:pPr>
        <w:pStyle w:val="Heading1"/>
      </w:pPr>
      <w:r>
        <w:t>Title page template</w:t>
      </w:r>
    </w:p>
    <w:p>
      <w:pPr>
        <w:pStyle w:val="Heading2"/>
      </w:pPr>
      <w:r>
        <w:t>Title page items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Item</w:t>
            </w:r>
          </w:p>
        </w:tc>
        <w:tc>
          <w:tcPr>
            <w:tcW w:type="dxa" w:w="4680"/>
            <w:vAlign w:val="center"/>
            <w:tcMar>
              <w:top w:w="80" w:type="dxa"/>
              <w:start w:w="120" w:type="dxa"/>
              <w:bottom w:w="80" w:type="dxa"/>
              <w:end w:w="120" w:type="dxa"/>
            </w:tcMar>
            <w:shd w:fill="F2F4F7"/>
          </w:tcPr>
          <w:p>
            <w:pPr>
              <w:spacing w:after="0"/>
            </w:pPr>
            <w:r>
              <w:rPr>
                <w:rFonts w:ascii="Calibri" w:hAnsi="Calibri"/>
                <w:b/>
                <w:sz w:val="16"/>
              </w:rPr>
              <w:t>Content</w:t>
            </w:r>
          </w:p>
        </w:tc>
      </w:tr>
      <w:tr>
        <w:tc>
          <w:tcPr>
            <w:tcW w:type="dxa" w:w="4680"/>
            <w:vAlign w:val="center"/>
            <w:tcMar>
              <w:top w:w="80" w:type="dxa"/>
              <w:start w:w="120" w:type="dxa"/>
              <w:bottom w:w="80" w:type="dxa"/>
              <w:end w:w="120" w:type="dxa"/>
            </w:tcMar>
          </w:tcPr>
          <w:p>
            <w:pPr>
              <w:spacing w:after="0"/>
            </w:pPr>
            <w:r>
              <w:rPr>
                <w:rFonts w:ascii="Calibri" w:hAnsi="Calibri"/>
                <w:sz w:val="16"/>
              </w:rPr>
              <w:t>Full title</w:t>
            </w:r>
          </w:p>
        </w:tc>
        <w:tc>
          <w:tcPr>
            <w:tcW w:type="dxa" w:w="4680"/>
            <w:vAlign w:val="center"/>
            <w:tcMar>
              <w:top w:w="80" w:type="dxa"/>
              <w:start w:w="120" w:type="dxa"/>
              <w:bottom w:w="80" w:type="dxa"/>
              <w:end w:w="120" w:type="dxa"/>
            </w:tcMar>
          </w:tcPr>
          <w:p>
            <w:pPr>
              <w:spacing w:after="0"/>
            </w:pPr>
            <w:r>
              <w:rPr>
                <w:rFonts w:ascii="Calibri" w:hAnsi="Calibri"/>
                <w:sz w:val="16"/>
              </w:rPr>
              <w:t>Public-subset Cross-dataset Validation and Calibration Transfer of Deep Learning Models for Multi-label Chest Radiograph Classification</w:t>
            </w:r>
          </w:p>
        </w:tc>
      </w:tr>
      <w:tr>
        <w:tc>
          <w:tcPr>
            <w:tcW w:type="dxa" w:w="4680"/>
            <w:vAlign w:val="center"/>
            <w:tcMar>
              <w:top w:w="80" w:type="dxa"/>
              <w:start w:w="120" w:type="dxa"/>
              <w:bottom w:w="80" w:type="dxa"/>
              <w:end w:w="120" w:type="dxa"/>
            </w:tcMar>
          </w:tcPr>
          <w:p>
            <w:pPr>
              <w:spacing w:after="0"/>
            </w:pPr>
            <w:r>
              <w:rPr>
                <w:rFonts w:ascii="Calibri" w:hAnsi="Calibri"/>
                <w:sz w:val="16"/>
              </w:rPr>
              <w:t>Short title</w:t>
            </w:r>
          </w:p>
        </w:tc>
        <w:tc>
          <w:tcPr>
            <w:tcW w:type="dxa" w:w="4680"/>
            <w:vAlign w:val="center"/>
            <w:tcMar>
              <w:top w:w="80" w:type="dxa"/>
              <w:start w:w="120" w:type="dxa"/>
              <w:bottom w:w="80" w:type="dxa"/>
              <w:end w:w="120" w:type="dxa"/>
            </w:tcMar>
          </w:tcPr>
          <w:p>
            <w:pPr>
              <w:spacing w:after="0"/>
            </w:pPr>
            <w:r>
              <w:rPr>
                <w:rFonts w:ascii="Calibri" w:hAnsi="Calibri"/>
                <w:sz w:val="16"/>
              </w:rPr>
              <w:t>Public-subset chest radiograph validation</w:t>
            </w:r>
          </w:p>
        </w:tc>
      </w:tr>
      <w:tr>
        <w:tc>
          <w:tcPr>
            <w:tcW w:type="dxa" w:w="4680"/>
            <w:vAlign w:val="center"/>
            <w:tcMar>
              <w:top w:w="80" w:type="dxa"/>
              <w:start w:w="120" w:type="dxa"/>
              <w:bottom w:w="80" w:type="dxa"/>
              <w:end w:w="120" w:type="dxa"/>
            </w:tcMar>
          </w:tcPr>
          <w:p>
            <w:pPr>
              <w:spacing w:after="0"/>
            </w:pPr>
            <w:r>
              <w:rPr>
                <w:rFonts w:ascii="Calibri" w:hAnsi="Calibri"/>
                <w:sz w:val="16"/>
              </w:rPr>
              <w:t>Article type</w:t>
            </w:r>
          </w:p>
        </w:tc>
        <w:tc>
          <w:tcPr>
            <w:tcW w:type="dxa" w:w="4680"/>
            <w:vAlign w:val="center"/>
            <w:tcMar>
              <w:top w:w="80" w:type="dxa"/>
              <w:start w:w="120" w:type="dxa"/>
              <w:bottom w:w="80" w:type="dxa"/>
              <w:end w:w="120" w:type="dxa"/>
            </w:tcMar>
          </w:tcPr>
          <w:p>
            <w:pPr>
              <w:spacing w:after="0"/>
            </w:pPr>
            <w:r>
              <w:rPr>
                <w:rFonts w:ascii="Calibri" w:hAnsi="Calibri"/>
                <w:sz w:val="16"/>
              </w:rPr>
              <w:t>Original research; retrospective public-dataset machine-learning validation study</w:t>
            </w:r>
          </w:p>
        </w:tc>
      </w:tr>
      <w:tr>
        <w:tc>
          <w:tcPr>
            <w:tcW w:type="dxa" w:w="4680"/>
            <w:vAlign w:val="center"/>
            <w:tcMar>
              <w:top w:w="80" w:type="dxa"/>
              <w:start w:w="120" w:type="dxa"/>
              <w:bottom w:w="80" w:type="dxa"/>
              <w:end w:w="120" w:type="dxa"/>
            </w:tcMar>
          </w:tcPr>
          <w:p>
            <w:pPr>
              <w:spacing w:after="0"/>
            </w:pPr>
            <w:r>
              <w:rPr>
                <w:rFonts w:ascii="Calibri" w:hAnsi="Calibri"/>
                <w:sz w:val="16"/>
              </w:rPr>
              <w:t>Author names</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Affiliations</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Corresponding author</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Email</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ORCID</w:t>
            </w:r>
          </w:p>
        </w:tc>
        <w:tc>
          <w:tcPr>
            <w:tcW w:type="dxa" w:w="4680"/>
            <w:vAlign w:val="center"/>
            <w:tcMar>
              <w:top w:w="80" w:type="dxa"/>
              <w:start w:w="120" w:type="dxa"/>
              <w:bottom w:w="80" w:type="dxa"/>
              <w:end w:w="120" w:type="dxa"/>
            </w:tcMar>
          </w:tcPr>
          <w:p>
            <w:pPr>
              <w:spacing w:after="0"/>
            </w:pPr>
            <w:r>
              <w:rPr>
                <w:rFonts w:ascii="Calibri" w:hAnsi="Calibri"/>
                <w:sz w:val="16"/>
              </w:rPr>
              <w:t>[TO BE FILLED]</w:t>
            </w:r>
          </w:p>
        </w:tc>
      </w:tr>
      <w:tr>
        <w:tc>
          <w:tcPr>
            <w:tcW w:type="dxa" w:w="4680"/>
            <w:vAlign w:val="center"/>
            <w:tcMar>
              <w:top w:w="80" w:type="dxa"/>
              <w:start w:w="120" w:type="dxa"/>
              <w:bottom w:w="80" w:type="dxa"/>
              <w:end w:w="120" w:type="dxa"/>
            </w:tcMar>
          </w:tcPr>
          <w:p>
            <w:pPr>
              <w:spacing w:after="0"/>
            </w:pPr>
            <w:r>
              <w:rPr>
                <w:rFonts w:ascii="Calibri" w:hAnsi="Calibri"/>
                <w:sz w:val="16"/>
              </w:rPr>
              <w:t>Word count</w:t>
            </w:r>
          </w:p>
        </w:tc>
        <w:tc>
          <w:tcPr>
            <w:tcW w:type="dxa" w:w="4680"/>
            <w:vAlign w:val="center"/>
            <w:tcMar>
              <w:top w:w="80" w:type="dxa"/>
              <w:start w:w="120" w:type="dxa"/>
              <w:bottom w:w="80" w:type="dxa"/>
              <w:end w:w="120" w:type="dxa"/>
            </w:tcMar>
          </w:tcPr>
          <w:p>
            <w:pPr>
              <w:spacing w:after="0"/>
            </w:pPr>
            <w:r>
              <w:rPr>
                <w:rFonts w:ascii="Calibri" w:hAnsi="Calibri"/>
                <w:sz w:val="16"/>
              </w:rPr>
              <w:t>[TO BE FILLED according to target-journal rules; current manuscript text approximately 2101 words]</w:t>
            </w:r>
          </w:p>
        </w:tc>
      </w:tr>
      <w:tr>
        <w:tc>
          <w:tcPr>
            <w:tcW w:type="dxa" w:w="4680"/>
            <w:vAlign w:val="center"/>
            <w:tcMar>
              <w:top w:w="80" w:type="dxa"/>
              <w:start w:w="120" w:type="dxa"/>
              <w:bottom w:w="80" w:type="dxa"/>
              <w:end w:w="120" w:type="dxa"/>
            </w:tcMar>
          </w:tcPr>
          <w:p>
            <w:pPr>
              <w:spacing w:after="0"/>
            </w:pPr>
            <w:r>
              <w:rPr>
                <w:rFonts w:ascii="Calibri" w:hAnsi="Calibri"/>
                <w:sz w:val="16"/>
              </w:rPr>
              <w:t>Abstract word count</w:t>
            </w:r>
          </w:p>
        </w:tc>
        <w:tc>
          <w:tcPr>
            <w:tcW w:type="dxa" w:w="4680"/>
            <w:vAlign w:val="center"/>
            <w:tcMar>
              <w:top w:w="80" w:type="dxa"/>
              <w:start w:w="120" w:type="dxa"/>
              <w:bottom w:w="80" w:type="dxa"/>
              <w:end w:w="120" w:type="dxa"/>
            </w:tcMar>
          </w:tcPr>
          <w:p>
            <w:pPr>
              <w:spacing w:after="0"/>
            </w:pPr>
            <w:r>
              <w:rPr>
                <w:rFonts w:ascii="Calibri" w:hAnsi="Calibri"/>
                <w:sz w:val="16"/>
              </w:rPr>
              <w:t>288 words, verify against target-journal counting rules</w:t>
            </w:r>
          </w:p>
        </w:tc>
      </w:tr>
      <w:tr>
        <w:tc>
          <w:tcPr>
            <w:tcW w:type="dxa" w:w="4680"/>
            <w:vAlign w:val="center"/>
            <w:tcMar>
              <w:top w:w="80" w:type="dxa"/>
              <w:start w:w="120" w:type="dxa"/>
              <w:bottom w:w="80" w:type="dxa"/>
              <w:end w:w="120" w:type="dxa"/>
            </w:tcMar>
          </w:tcPr>
          <w:p>
            <w:pPr>
              <w:spacing w:after="0"/>
            </w:pPr>
            <w:r>
              <w:rPr>
                <w:rFonts w:ascii="Calibri" w:hAnsi="Calibri"/>
                <w:sz w:val="16"/>
              </w:rPr>
              <w:t>Number of tables</w:t>
            </w:r>
          </w:p>
        </w:tc>
        <w:tc>
          <w:tcPr>
            <w:tcW w:type="dxa" w:w="4680"/>
            <w:vAlign w:val="center"/>
            <w:tcMar>
              <w:top w:w="80" w:type="dxa"/>
              <w:start w:w="120" w:type="dxa"/>
              <w:bottom w:w="80" w:type="dxa"/>
              <w:end w:w="120" w:type="dxa"/>
            </w:tcMar>
          </w:tcPr>
          <w:p>
            <w:pPr>
              <w:spacing w:after="0"/>
            </w:pPr>
            <w:r>
              <w:rPr>
                <w:rFonts w:ascii="Calibri" w:hAnsi="Calibri"/>
                <w:sz w:val="16"/>
              </w:rPr>
              <w:t>5 main tables; descriptive subgroup table recommended for supplement</w:t>
            </w:r>
          </w:p>
        </w:tc>
      </w:tr>
      <w:tr>
        <w:tc>
          <w:tcPr>
            <w:tcW w:type="dxa" w:w="4680"/>
            <w:vAlign w:val="center"/>
            <w:tcMar>
              <w:top w:w="80" w:type="dxa"/>
              <w:start w:w="120" w:type="dxa"/>
              <w:bottom w:w="80" w:type="dxa"/>
              <w:end w:w="120" w:type="dxa"/>
            </w:tcMar>
          </w:tcPr>
          <w:p>
            <w:pPr>
              <w:spacing w:after="0"/>
            </w:pPr>
            <w:r>
              <w:rPr>
                <w:rFonts w:ascii="Calibri" w:hAnsi="Calibri"/>
                <w:sz w:val="16"/>
              </w:rPr>
              <w:t>Number of figures</w:t>
            </w:r>
          </w:p>
        </w:tc>
        <w:tc>
          <w:tcPr>
            <w:tcW w:type="dxa" w:w="4680"/>
            <w:vAlign w:val="center"/>
            <w:tcMar>
              <w:top w:w="80" w:type="dxa"/>
              <w:start w:w="120" w:type="dxa"/>
              <w:bottom w:w="80" w:type="dxa"/>
              <w:end w:w="120" w:type="dxa"/>
            </w:tcMar>
          </w:tcPr>
          <w:p>
            <w:pPr>
              <w:spacing w:after="0"/>
            </w:pPr>
            <w:r>
              <w:rPr>
                <w:rFonts w:ascii="Calibri" w:hAnsi="Calibri"/>
                <w:sz w:val="16"/>
              </w:rPr>
              <w:t>6 main figures</w:t>
            </w:r>
          </w:p>
        </w:tc>
      </w:tr>
      <w:tr>
        <w:tc>
          <w:tcPr>
            <w:tcW w:type="dxa" w:w="4680"/>
            <w:vAlign w:val="center"/>
            <w:tcMar>
              <w:top w:w="80" w:type="dxa"/>
              <w:start w:w="120" w:type="dxa"/>
              <w:bottom w:w="80" w:type="dxa"/>
              <w:end w:w="120" w:type="dxa"/>
            </w:tcMar>
          </w:tcPr>
          <w:p>
            <w:pPr>
              <w:spacing w:after="0"/>
            </w:pPr>
            <w:r>
              <w:rPr>
                <w:rFonts w:ascii="Calibri" w:hAnsi="Calibri"/>
                <w:sz w:val="16"/>
              </w:rPr>
              <w:t>Number of references</w:t>
            </w:r>
          </w:p>
        </w:tc>
        <w:tc>
          <w:tcPr>
            <w:tcW w:type="dxa" w:w="4680"/>
            <w:vAlign w:val="center"/>
            <w:tcMar>
              <w:top w:w="80" w:type="dxa"/>
              <w:start w:w="120" w:type="dxa"/>
              <w:bottom w:w="80" w:type="dxa"/>
              <w:end w:w="120" w:type="dxa"/>
            </w:tcMar>
          </w:tcPr>
          <w:p>
            <w:pPr>
              <w:spacing w:after="0"/>
            </w:pPr>
            <w:r>
              <w:rPr>
                <w:rFonts w:ascii="Calibri" w:hAnsi="Calibri"/>
                <w:sz w:val="16"/>
              </w:rPr>
              <w:t>26 current references, final formatting to be verified</w:t>
            </w:r>
          </w:p>
        </w:tc>
      </w:tr>
      <w:tr>
        <w:tc>
          <w:tcPr>
            <w:tcW w:type="dxa" w:w="4680"/>
            <w:vAlign w:val="center"/>
            <w:tcMar>
              <w:top w:w="80" w:type="dxa"/>
              <w:start w:w="120" w:type="dxa"/>
              <w:bottom w:w="80" w:type="dxa"/>
              <w:end w:w="120" w:type="dxa"/>
            </w:tcMar>
          </w:tcPr>
          <w:p>
            <w:pPr>
              <w:spacing w:after="0"/>
            </w:pPr>
            <w:r>
              <w:rPr>
                <w:rFonts w:ascii="Calibri" w:hAnsi="Calibri"/>
                <w:sz w:val="16"/>
              </w:rPr>
              <w:t>Keywords</w:t>
            </w:r>
          </w:p>
        </w:tc>
        <w:tc>
          <w:tcPr>
            <w:tcW w:type="dxa" w:w="4680"/>
            <w:vAlign w:val="center"/>
            <w:tcMar>
              <w:top w:w="80" w:type="dxa"/>
              <w:start w:w="120" w:type="dxa"/>
              <w:bottom w:w="80" w:type="dxa"/>
              <w:end w:w="120" w:type="dxa"/>
            </w:tcMar>
          </w:tcPr>
          <w:p>
            <w:pPr>
              <w:spacing w:after="0"/>
            </w:pPr>
            <w:r>
              <w:rPr>
                <w:rFonts w:ascii="Calibri" w:hAnsi="Calibri"/>
                <w:sz w:val="16"/>
              </w:rPr>
              <w:t>chest radiograph; public-subset validation; calibration transfer; external-evaluable labels; Grad-CAM++; NIH ChestX-ray14; VinDr-CXR</w:t>
            </w:r>
          </w:p>
        </w:tc>
      </w:tr>
      <w:tr>
        <w:tc>
          <w:tcPr>
            <w:tcW w:type="dxa" w:w="4680"/>
            <w:vAlign w:val="center"/>
            <w:tcMar>
              <w:top w:w="80" w:type="dxa"/>
              <w:start w:w="120" w:type="dxa"/>
              <w:bottom w:w="80" w:type="dxa"/>
              <w:end w:w="120" w:type="dxa"/>
            </w:tcMar>
          </w:tcPr>
          <w:p>
            <w:pPr>
              <w:spacing w:after="0"/>
            </w:pPr>
            <w:r>
              <w:rPr>
                <w:rFonts w:ascii="Calibri" w:hAnsi="Calibri"/>
                <w:sz w:val="16"/>
              </w:rPr>
              <w:t>Running title</w:t>
            </w:r>
          </w:p>
        </w:tc>
        <w:tc>
          <w:tcPr>
            <w:tcW w:type="dxa" w:w="4680"/>
            <w:vAlign w:val="center"/>
            <w:tcMar>
              <w:top w:w="80" w:type="dxa"/>
              <w:start w:w="120" w:type="dxa"/>
              <w:bottom w:w="80" w:type="dxa"/>
              <w:end w:w="120" w:type="dxa"/>
            </w:tcMar>
          </w:tcPr>
          <w:p>
            <w:pPr>
              <w:spacing w:after="0"/>
            </w:pPr>
            <w:r>
              <w:rPr>
                <w:rFonts w:ascii="Calibri" w:hAnsi="Calibri"/>
                <w:sz w:val="16"/>
              </w:rPr>
              <w:t>Public-subset chest radiograph validation</w:t>
            </w:r>
          </w:p>
        </w:tc>
      </w:tr>
    </w:tbl>
    <w:p>
      <w:pPr>
        <w:pStyle w:val="Heading1"/>
      </w:pPr>
      <w:r>
        <w:t>Declarations</w:t>
      </w:r>
    </w:p>
    <w:p>
      <w:pPr>
        <w:pStyle w:val="Heading2"/>
      </w:pPr>
      <w:r>
        <w:t>Funding</w:t>
      </w:r>
    </w:p>
    <w:p>
      <w:r>
        <w:t>No specific funding was received for this study.</w:t>
      </w:r>
    </w:p>
    <w:p>
      <w:pPr>
        <w:pStyle w:val="Heading2"/>
      </w:pPr>
      <w:r>
        <w:t>Conflict of interest</w:t>
      </w:r>
    </w:p>
    <w:p>
      <w:r>
        <w:t>The authors declare no competing interests.</w:t>
      </w:r>
    </w:p>
    <w:p>
      <w:pPr>
        <w:pStyle w:val="Heading2"/>
      </w:pPr>
      <w:r>
        <w:t>Data availability</w:t>
      </w:r>
    </w:p>
    <w:p>
      <w:r>
        <w:t>The study used public NIH ChestX-ray14 and VinDr-CXR/VinBigData-derived resources. Split CSVs, label mapping, prediction CSVs, calibration outputs, figure source data, logs, package versions, random seeds, GPU/environment information, and rerun commands are available at [TO BE FILLED: repository or archive link]. Original image and label files remain subject to the source dataset licenses and citation requirements.</w:t>
      </w:r>
    </w:p>
    <w:p>
      <w:pPr>
        <w:pStyle w:val="Heading2"/>
      </w:pPr>
      <w:r>
        <w:t>Code availability</w:t>
      </w:r>
    </w:p>
    <w:p>
      <w:r>
        <w:t>The analysis code, configuration files, and reproducibility scripts are available at [TO BE FILLED: repository or archive link]. Model checkpoint sharing should be confirmed against dataset and institutional requirements before public release.</w:t>
      </w:r>
    </w:p>
    <w:p>
      <w:pPr>
        <w:pStyle w:val="Heading2"/>
      </w:pPr>
      <w:r>
        <w:t>Ethics approval</w:t>
      </w:r>
    </w:p>
    <w:p>
      <w:r>
        <w:t>This retrospective study used de-identified public datasets and involved no new patient recruitment, intervention, or direct patient contact. Institutional review-board exemption or waiver requirements should be confirmed locally before submission. Approval number: [TO BE FILLED if required].</w:t>
      </w:r>
    </w:p>
    <w:p>
      <w:pPr>
        <w:pStyle w:val="Heading2"/>
      </w:pPr>
      <w:r>
        <w:t>Consent to participate</w:t>
      </w:r>
    </w:p>
    <w:p>
      <w:r>
        <w:t>Not applicable because this study used de-identified public datasets and did not involve new participant recruitment.</w:t>
      </w:r>
    </w:p>
    <w:p>
      <w:pPr>
        <w:pStyle w:val="Heading2"/>
      </w:pPr>
      <w:r>
        <w:t>Consent for publication</w:t>
      </w:r>
    </w:p>
    <w:p>
      <w:r>
        <w:t>Not applicable because no identifiable individual-level information is reported.</w:t>
      </w:r>
    </w:p>
    <w:p>
      <w:pPr>
        <w:pStyle w:val="Heading2"/>
      </w:pPr>
      <w:r>
        <w:t>Author contributions</w:t>
      </w:r>
    </w:p>
    <w:p>
      <w:r>
        <w:t>Conceptualization: [TO BE FILLED]. Data curation: [TO BE FILLED]. Methodology: [TO BE FILLED]. Software: [TO BE FILLED]. Formal analysis: [TO BE FILLED]. Writing, original draft: [TO BE FILLED]. Writing, review and editing: [TO BE FILLED]. Supervision: [TO BE FILLED]. All authors approved the final manuscript: [TO BE CONFIRMED].</w:t>
      </w:r>
    </w:p>
    <w:p>
      <w:pPr>
        <w:pStyle w:val="Heading2"/>
      </w:pPr>
      <w:r>
        <w:t>Acknowledgements</w:t>
      </w:r>
    </w:p>
    <w:p>
      <w:r>
        <w:t>[TO BE FILLED] or The authors thank the maintainers of the NIH ChestX-ray14 and VinDr-CXR public datasets.</w:t>
      </w:r>
    </w:p>
    <w:p>
      <w:pPr>
        <w:pStyle w:val="Heading2"/>
      </w:pPr>
      <w:r>
        <w:t>Use of AI tools</w:t>
      </w:r>
    </w:p>
    <w:p>
      <w:r>
        <w:t>AI-assisted tools were used for language editing, formatting support, and manuscript-organization assistance. All scientific claims, numerical results, code outputs, tables, and figures were checked by the authors against the underlying experiment artifacts. No AI tool was used to generate or modify patient data.</w:t>
      </w:r>
    </w:p>
    <w:p>
      <w:pPr>
        <w:pStyle w:val="Heading2"/>
      </w:pPr>
      <w:r>
        <w:t>Clinical trial registration</w:t>
      </w:r>
    </w:p>
    <w:p>
      <w:r>
        <w:t>Not applicable. This was a retrospective public-dataset machine-learning validation study and did not involve an interventional clinical trial.</w:t>
      </w:r>
    </w:p>
    <w:p>
      <w:pPr>
        <w:pStyle w:val="Heading2"/>
      </w:pPr>
      <w:r>
        <w:t>Patient and public involvement</w:t>
      </w:r>
    </w:p>
    <w:p>
      <w:r>
        <w:t>Not applicable. Patients or members of the public were not involved in the design, conduct, reporting, or dissemination planning of this public-dataset analysis.</w:t>
      </w:r>
    </w:p>
    <w:p>
      <w:pPr>
        <w:pStyle w:val="Heading1"/>
      </w:pPr>
      <w:r>
        <w:t>Cover letter</w:t>
      </w:r>
    </w:p>
    <w:p>
      <w:r>
        <w:t>[TO BE FILLED: Date]</w:t>
      </w:r>
    </w:p>
    <w:p/>
    <w:p>
      <w:r>
        <w:t>Dear [TO BE FILLED: Editor Name],</w:t>
      </w:r>
    </w:p>
    <w:p/>
    <w:p>
      <w:r>
        <w:t>We submit our manuscript entitled "Public-subset Cross-dataset Validation and Calibration Transfer of Deep Learning Models for Multi-label Chest Radiograph Classification" for consideration in [TO BE FILLED: Journal Name].</w:t>
      </w:r>
    </w:p>
    <w:p/>
    <w:p>
      <w:r>
        <w:t>This manuscript reports a retrospective public-dataset machine-learning validation study for multi-label chest radiograph classification. We evaluated a DenseNet121 main model with ResNet50 and EfficientNet-B0 architecture comparators using a selected NIH ChestX-ray14 public subset for development and a selected VinDr-CXR/VinBigData-derived public subset for external validation.</w:t>
      </w:r>
    </w:p>
    <w:p/>
    <w:p>
      <w:r>
        <w:t>The study emphasizes several safeguards that are important for medical imaging AI reporting: NIH patient-level splitting, validation-only threshold selection, NIH-only calibration fitting, external-evaluable label restrictions, method-dependent calibration-transfer interpretation, and Grad-CAM++ used only for qualitative failure-mode review. The manuscript does not claim clinical readiness or full official-cohort validation.</w:t>
      </w:r>
    </w:p>
    <w:p/>
    <w:p>
      <w:r>
        <w:t>We believe the work may be of interest to readers of [TO BE FILLED: Journal Name] because it provides an auditable public-subset framework for evaluating discrimination, prevalence-aware precision-recall behavior, calibration transfer, and saliency-based failure modes under dataset shift.</w:t>
      </w:r>
    </w:p>
    <w:p/>
    <w:p>
      <w:r>
        <w:t>The manuscript has not been published previously and is not under consideration elsewhere [TO BE CONFIRMED]. All authors have approved this submission [TO BE CONFIRMED]. The authors declare no competing interests. Data and code availability details are provided in the manuscript, with the repository or archive link to be added before submission: [TO BE FILLED: repository or archive link].</w:t>
      </w:r>
    </w:p>
    <w:p/>
    <w:p>
      <w:r>
        <w:t>Thank you for considering our manuscript.</w:t>
      </w:r>
    </w:p>
    <w:p/>
    <w:p>
      <w:r>
        <w:t>Sincerely,</w:t>
      </w:r>
    </w:p>
    <w:p>
      <w:r>
        <w:t>[TO BE FILLED: Corresponding Author Name]</w:t>
      </w:r>
    </w:p>
    <w:p>
      <w:r>
        <w:t>[TO BE FILLED: Affiliation]</w:t>
      </w:r>
    </w:p>
    <w:p>
      <w:r>
        <w:t>[TO BE FILLED: Email]</w:t>
      </w:r>
    </w:p>
    <w:p>
      <w:pPr>
        <w:pStyle w:val="Heading1"/>
      </w:pPr>
      <w:r>
        <w:t>Highlights</w:t>
      </w:r>
    </w:p>
    <w:p>
      <w:pPr>
        <w:pStyle w:val="ListBullet"/>
      </w:pPr>
      <w:r>
        <w:t>Public-subset validation from NIH ChestX-ray14 to VinDr-derived data</w:t>
      </w:r>
    </w:p>
    <w:p>
      <w:pPr>
        <w:pStyle w:val="ListBullet"/>
      </w:pPr>
      <w:r>
        <w:t>Thresholds and calibration were fitted only on NIH development splits</w:t>
      </w:r>
    </w:p>
    <w:p>
      <w:pPr>
        <w:pStyle w:val="ListBullet"/>
      </w:pPr>
      <w:r>
        <w:t>External claims were restricted to nonzero-prevalence labels</w:t>
      </w:r>
    </w:p>
    <w:p>
      <w:pPr>
        <w:pStyle w:val="ListBullet"/>
      </w:pPr>
      <w:r>
        <w:t>Calibration transfer showed method-dependent effects</w:t>
      </w:r>
    </w:p>
    <w:p>
      <w:pPr>
        <w:pStyle w:val="ListBullet"/>
      </w:pPr>
      <w:r>
        <w:t>Grad-CAM++ supported qualitative failure-mode review</w:t>
      </w:r>
    </w:p>
    <w:p>
      <w:pPr>
        <w:pStyle w:val="Heading1"/>
      </w:pPr>
      <w:r>
        <w:t>Graphical abstract plan</w:t>
      </w:r>
    </w:p>
    <w:p>
      <w:pPr>
        <w:pStyle w:val="ListBullet"/>
      </w:pPr>
      <w:r>
        <w:t>Left panel: NIH ChestX-ray14 public subset, 5,000 images from 3,795 patients, patient-level train/validation/calibration/internal-test split.</w:t>
      </w:r>
    </w:p>
    <w:p>
      <w:pPr>
        <w:pStyle w:val="ListBullet"/>
      </w:pPr>
      <w:r>
        <w:t>Middle panel: DenseNet121 main model with ResNet50 and EfficientNet-B0 comparators; validation-derived thresholds; NIH-only temperature, Platt, and isotonic calibration fitting.</w:t>
      </w:r>
    </w:p>
    <w:p>
      <w:pPr>
        <w:pStyle w:val="ListBullet"/>
      </w:pPr>
      <w:r>
        <w:t>Right panel: selected VinDr-derived external subset, 1,000 images; external-evaluable labels only; discrimination, calibration transfer, and Grad-CAM++ failure-mode review.</w:t>
      </w:r>
    </w:p>
    <w:p>
      <w:pPr>
        <w:pStyle w:val="ListBullet"/>
      </w:pPr>
      <w:r>
        <w:t>Bottom caution band: public-subset validation, not full official-cohort validation and not clinical readiness.</w:t>
      </w:r>
    </w:p>
    <w:p>
      <w:pPr>
        <w:pStyle w:val="Heading2"/>
      </w:pPr>
      <w:r>
        <w:t>Graphical abstract schematic</w:t>
      </w:r>
    </w:p>
    <w:p>
      <w:pPr>
        <w:jc w:val="center"/>
      </w:pPr>
      <w:r>
        <w:drawing>
          <wp:inline xmlns:a="http://schemas.openxmlformats.org/drawingml/2006/main" xmlns:pic="http://schemas.openxmlformats.org/drawingml/2006/picture">
            <wp:extent cx="5806440" cy="2524539"/>
            <wp:docPr id="1" name="Picture 1"/>
            <wp:cNvGraphicFramePr>
              <a:graphicFrameLocks noChangeAspect="1"/>
            </wp:cNvGraphicFramePr>
            <a:graphic>
              <a:graphicData uri="http://schemas.openxmlformats.org/drawingml/2006/picture">
                <pic:pic>
                  <pic:nvPicPr>
                    <pic:cNvPr id="0" name="graphical_abstract_plan_final15.jpg"/>
                    <pic:cNvPicPr/>
                  </pic:nvPicPr>
                  <pic:blipFill>
                    <a:blip r:embed="rId9"/>
                    <a:stretch>
                      <a:fillRect/>
                    </a:stretch>
                  </pic:blipFill>
                  <pic:spPr>
                    <a:xfrm>
                      <a:off x="0" y="0"/>
                      <a:ext cx="5806440" cy="2524539"/>
                    </a:xfrm>
                    <a:prstGeom prst="rect"/>
                  </pic:spPr>
                </pic:pic>
              </a:graphicData>
            </a:graphic>
          </wp:inline>
        </w:drawing>
      </w:r>
    </w:p>
    <w:p>
      <w:pPr>
        <w:pStyle w:val="Caption"/>
      </w:pPr>
      <w:r>
        <w:t>Draft graphical abstract layout. Text and styling can be adapted to the target journal's graphical abstract specifications.</w:t>
      </w:r>
    </w:p>
    <w:p>
      <w:pPr>
        <w:pStyle w:val="Heading1"/>
      </w:pPr>
      <w:r>
        <w:t>Pre-submission risk table</w:t>
      </w:r>
    </w:p>
    <w:p>
      <w:pPr>
        <w:pStyle w:val="Heading2"/>
      </w:pPr>
      <w:r>
        <w:t>Risk table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20" w:type="dxa"/>
              <w:bottom w:w="80" w:type="dxa"/>
              <w:end w:w="120" w:type="dxa"/>
            </w:tcMar>
            <w:shd w:fill="F2F4F7"/>
          </w:tcPr>
          <w:p>
            <w:pPr>
              <w:spacing w:after="0"/>
            </w:pPr>
            <w:r>
              <w:rPr>
                <w:rFonts w:ascii="Calibri" w:hAnsi="Calibri"/>
                <w:b/>
                <w:sz w:val="16"/>
              </w:rPr>
              <w:t>Risk item</w:t>
            </w:r>
          </w:p>
        </w:tc>
        <w:tc>
          <w:tcPr>
            <w:tcW w:type="dxa" w:w="1560"/>
            <w:vAlign w:val="center"/>
            <w:tcMar>
              <w:top w:w="80" w:type="dxa"/>
              <w:start w:w="120" w:type="dxa"/>
              <w:bottom w:w="80" w:type="dxa"/>
              <w:end w:w="120" w:type="dxa"/>
            </w:tcMar>
            <w:shd w:fill="F2F4F7"/>
          </w:tcPr>
          <w:p>
            <w:pPr>
              <w:spacing w:after="0"/>
            </w:pPr>
            <w:r>
              <w:rPr>
                <w:rFonts w:ascii="Calibri" w:hAnsi="Calibri"/>
                <w:b/>
                <w:sz w:val="16"/>
              </w:rPr>
              <w:t>Why it matters</w:t>
            </w:r>
          </w:p>
        </w:tc>
        <w:tc>
          <w:tcPr>
            <w:tcW w:type="dxa" w:w="1560"/>
            <w:vAlign w:val="center"/>
            <w:tcMar>
              <w:top w:w="80" w:type="dxa"/>
              <w:start w:w="120" w:type="dxa"/>
              <w:bottom w:w="80" w:type="dxa"/>
              <w:end w:w="120" w:type="dxa"/>
            </w:tcMar>
            <w:shd w:fill="F2F4F7"/>
          </w:tcPr>
          <w:p>
            <w:pPr>
              <w:spacing w:after="0"/>
            </w:pPr>
            <w:r>
              <w:rPr>
                <w:rFonts w:ascii="Calibri" w:hAnsi="Calibri"/>
                <w:b/>
                <w:sz w:val="16"/>
              </w:rPr>
              <w:t>Current status</w:t>
            </w:r>
          </w:p>
        </w:tc>
        <w:tc>
          <w:tcPr>
            <w:tcW w:type="dxa" w:w="1560"/>
            <w:vAlign w:val="center"/>
            <w:tcMar>
              <w:top w:w="80" w:type="dxa"/>
              <w:start w:w="120" w:type="dxa"/>
              <w:bottom w:w="80" w:type="dxa"/>
              <w:end w:w="120" w:type="dxa"/>
            </w:tcMar>
            <w:shd w:fill="F2F4F7"/>
          </w:tcPr>
          <w:p>
            <w:pPr>
              <w:spacing w:after="0"/>
            </w:pPr>
            <w:r>
              <w:rPr>
                <w:rFonts w:ascii="Calibri" w:hAnsi="Calibri"/>
                <w:b/>
                <w:sz w:val="16"/>
              </w:rPr>
              <w:t>Required action</w:t>
            </w:r>
          </w:p>
        </w:tc>
        <w:tc>
          <w:tcPr>
            <w:tcW w:type="dxa" w:w="1560"/>
            <w:vAlign w:val="center"/>
            <w:tcMar>
              <w:top w:w="80" w:type="dxa"/>
              <w:start w:w="120" w:type="dxa"/>
              <w:bottom w:w="80" w:type="dxa"/>
              <w:end w:w="120" w:type="dxa"/>
            </w:tcMar>
            <w:shd w:fill="F2F4F7"/>
          </w:tcPr>
          <w:p>
            <w:pPr>
              <w:spacing w:after="0"/>
            </w:pPr>
            <w:r>
              <w:rPr>
                <w:rFonts w:ascii="Calibri" w:hAnsi="Calibri"/>
                <w:b/>
                <w:sz w:val="16"/>
              </w:rPr>
              <w:t>Severity</w:t>
            </w:r>
          </w:p>
        </w:tc>
        <w:tc>
          <w:tcPr>
            <w:tcW w:type="dxa" w:w="1560"/>
            <w:vAlign w:val="center"/>
            <w:tcMar>
              <w:top w:w="80" w:type="dxa"/>
              <w:start w:w="120" w:type="dxa"/>
              <w:bottom w:w="80" w:type="dxa"/>
              <w:end w:w="120" w:type="dxa"/>
            </w:tcMar>
            <w:shd w:fill="F2F4F7"/>
          </w:tcPr>
          <w:p>
            <w:pPr>
              <w:spacing w:after="0"/>
            </w:pPr>
            <w:r>
              <w:rPr>
                <w:rFonts w:ascii="Calibri" w:hAnsi="Calibri"/>
                <w:b/>
                <w:sz w:val="16"/>
              </w:rPr>
              <w:t>Suggested wording</w:t>
            </w:r>
          </w:p>
        </w:tc>
      </w:tr>
      <w:tr>
        <w:tc>
          <w:tcPr>
            <w:tcW w:type="dxa" w:w="1560"/>
            <w:vAlign w:val="center"/>
            <w:tcMar>
              <w:top w:w="80" w:type="dxa"/>
              <w:start w:w="120" w:type="dxa"/>
              <w:bottom w:w="80" w:type="dxa"/>
              <w:end w:w="120" w:type="dxa"/>
            </w:tcMar>
          </w:tcPr>
          <w:p>
            <w:pPr>
              <w:spacing w:after="0"/>
            </w:pPr>
            <w:r>
              <w:rPr>
                <w:rFonts w:ascii="Calibri" w:hAnsi="Calibri"/>
                <w:sz w:val="16"/>
              </w:rPr>
              <w:t>Selected public subset</w:t>
            </w:r>
          </w:p>
        </w:tc>
        <w:tc>
          <w:tcPr>
            <w:tcW w:type="dxa" w:w="1560"/>
            <w:vAlign w:val="center"/>
            <w:tcMar>
              <w:top w:w="80" w:type="dxa"/>
              <w:start w:w="120" w:type="dxa"/>
              <w:bottom w:w="80" w:type="dxa"/>
              <w:end w:w="120" w:type="dxa"/>
            </w:tcMar>
          </w:tcPr>
          <w:p>
            <w:pPr>
              <w:spacing w:after="0"/>
            </w:pPr>
            <w:r>
              <w:rPr>
                <w:rFonts w:ascii="Calibri" w:hAnsi="Calibri"/>
                <w:sz w:val="16"/>
              </w:rPr>
              <w:t>Reviewers may question generalizability to full cohorts.</w:t>
            </w:r>
          </w:p>
        </w:tc>
        <w:tc>
          <w:tcPr>
            <w:tcW w:type="dxa" w:w="1560"/>
            <w:vAlign w:val="center"/>
            <w:tcMar>
              <w:top w:w="80" w:type="dxa"/>
              <w:start w:w="120" w:type="dxa"/>
              <w:bottom w:w="80" w:type="dxa"/>
              <w:end w:w="120" w:type="dxa"/>
            </w:tcMar>
          </w:tcPr>
          <w:p>
            <w:pPr>
              <w:spacing w:after="0"/>
            </w:pPr>
            <w:r>
              <w:rPr>
                <w:rFonts w:ascii="Calibri" w:hAnsi="Calibri"/>
                <w:sz w:val="16"/>
              </w:rPr>
              <w:t>Explicitly stated throughout.</w:t>
            </w:r>
          </w:p>
        </w:tc>
        <w:tc>
          <w:tcPr>
            <w:tcW w:type="dxa" w:w="1560"/>
            <w:vAlign w:val="center"/>
            <w:tcMar>
              <w:top w:w="80" w:type="dxa"/>
              <w:start w:w="120" w:type="dxa"/>
              <w:bottom w:w="80" w:type="dxa"/>
              <w:end w:w="120" w:type="dxa"/>
            </w:tcMar>
          </w:tcPr>
          <w:p>
            <w:pPr>
              <w:spacing w:after="0"/>
            </w:pPr>
            <w:r>
              <w:rPr>
                <w:rFonts w:ascii="Calibri" w:hAnsi="Calibri"/>
                <w:sz w:val="16"/>
              </w:rPr>
              <w:t>Keep public-subset wording in title, abstract, methods, captions.</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selected public external subset</w:t>
            </w:r>
          </w:p>
        </w:tc>
      </w:tr>
      <w:tr>
        <w:tc>
          <w:tcPr>
            <w:tcW w:type="dxa" w:w="1560"/>
            <w:vAlign w:val="center"/>
            <w:tcMar>
              <w:top w:w="80" w:type="dxa"/>
              <w:start w:w="120" w:type="dxa"/>
              <w:bottom w:w="80" w:type="dxa"/>
              <w:end w:w="120" w:type="dxa"/>
            </w:tcMar>
          </w:tcPr>
          <w:p>
            <w:pPr>
              <w:spacing w:after="0"/>
            </w:pPr>
            <w:r>
              <w:rPr>
                <w:rFonts w:ascii="Calibri" w:hAnsi="Calibri"/>
                <w:sz w:val="16"/>
              </w:rPr>
              <w:t>Incomplete external labels</w:t>
            </w:r>
          </w:p>
        </w:tc>
        <w:tc>
          <w:tcPr>
            <w:tcW w:type="dxa" w:w="1560"/>
            <w:vAlign w:val="center"/>
            <w:tcMar>
              <w:top w:w="80" w:type="dxa"/>
              <w:start w:w="120" w:type="dxa"/>
              <w:bottom w:w="80" w:type="dxa"/>
              <w:end w:w="120" w:type="dxa"/>
            </w:tcMar>
          </w:tcPr>
          <w:p>
            <w:pPr>
              <w:spacing w:after="0"/>
            </w:pPr>
            <w:r>
              <w:rPr>
                <w:rFonts w:ascii="Calibri" w:hAnsi="Calibri"/>
                <w:sz w:val="16"/>
              </w:rPr>
              <w:t>Some NIH labels are not externally evaluable.</w:t>
            </w:r>
          </w:p>
        </w:tc>
        <w:tc>
          <w:tcPr>
            <w:tcW w:type="dxa" w:w="1560"/>
            <w:vAlign w:val="center"/>
            <w:tcMar>
              <w:top w:w="80" w:type="dxa"/>
              <w:start w:w="120" w:type="dxa"/>
              <w:bottom w:w="80" w:type="dxa"/>
              <w:end w:w="120" w:type="dxa"/>
            </w:tcMar>
          </w:tcPr>
          <w:p>
            <w:pPr>
              <w:spacing w:after="0"/>
            </w:pPr>
            <w:r>
              <w:rPr>
                <w:rFonts w:ascii="Calibri" w:hAnsi="Calibri"/>
                <w:sz w:val="16"/>
              </w:rPr>
              <w:t>External-evaluable set defined.</w:t>
            </w:r>
          </w:p>
        </w:tc>
        <w:tc>
          <w:tcPr>
            <w:tcW w:type="dxa" w:w="1560"/>
            <w:vAlign w:val="center"/>
            <w:tcMar>
              <w:top w:w="80" w:type="dxa"/>
              <w:start w:w="120" w:type="dxa"/>
              <w:bottom w:w="80" w:type="dxa"/>
              <w:end w:w="120" w:type="dxa"/>
            </w:tcMar>
          </w:tcPr>
          <w:p>
            <w:pPr>
              <w:spacing w:after="0"/>
            </w:pPr>
            <w:r>
              <w:rPr>
                <w:rFonts w:ascii="Calibri" w:hAnsi="Calibri"/>
                <w:sz w:val="16"/>
              </w:rPr>
              <w:t>Keep macro summaries restricted to nonzero-prevalence labels.</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external-evaluable labels</w:t>
            </w:r>
          </w:p>
        </w:tc>
      </w:tr>
      <w:tr>
        <w:tc>
          <w:tcPr>
            <w:tcW w:type="dxa" w:w="1560"/>
            <w:vAlign w:val="center"/>
            <w:tcMar>
              <w:top w:w="80" w:type="dxa"/>
              <w:start w:w="120" w:type="dxa"/>
              <w:bottom w:w="80" w:type="dxa"/>
              <w:end w:w="120" w:type="dxa"/>
            </w:tcMar>
          </w:tcPr>
          <w:p>
            <w:pPr>
              <w:spacing w:after="0"/>
            </w:pPr>
            <w:r>
              <w:rPr>
                <w:rFonts w:ascii="Calibri" w:hAnsi="Calibri"/>
                <w:sz w:val="16"/>
              </w:rPr>
              <w:t>Edema/Pneumonia zero positives</w:t>
            </w:r>
          </w:p>
        </w:tc>
        <w:tc>
          <w:tcPr>
            <w:tcW w:type="dxa" w:w="1560"/>
            <w:vAlign w:val="center"/>
            <w:tcMar>
              <w:top w:w="80" w:type="dxa"/>
              <w:start w:w="120" w:type="dxa"/>
              <w:bottom w:w="80" w:type="dxa"/>
              <w:end w:w="120" w:type="dxa"/>
            </w:tcMar>
          </w:tcPr>
          <w:p>
            <w:pPr>
              <w:spacing w:after="0"/>
            </w:pPr>
            <w:r>
              <w:rPr>
                <w:rFonts w:ascii="Calibri" w:hAnsi="Calibri"/>
                <w:sz w:val="16"/>
              </w:rPr>
              <w:t>External AUROC/AUPRC are not calculable.</w:t>
            </w:r>
          </w:p>
        </w:tc>
        <w:tc>
          <w:tcPr>
            <w:tcW w:type="dxa" w:w="1560"/>
            <w:vAlign w:val="center"/>
            <w:tcMar>
              <w:top w:w="80" w:type="dxa"/>
              <w:start w:w="120" w:type="dxa"/>
              <w:bottom w:w="80" w:type="dxa"/>
              <w:end w:w="120" w:type="dxa"/>
            </w:tcMar>
          </w:tcPr>
          <w:p>
            <w:pPr>
              <w:spacing w:after="0"/>
            </w:pPr>
            <w:r>
              <w:rPr>
                <w:rFonts w:ascii="Calibri" w:hAnsi="Calibri"/>
                <w:sz w:val="16"/>
              </w:rPr>
              <w:t>Marked as not used for external claims.</w:t>
            </w:r>
          </w:p>
        </w:tc>
        <w:tc>
          <w:tcPr>
            <w:tcW w:type="dxa" w:w="1560"/>
            <w:vAlign w:val="center"/>
            <w:tcMar>
              <w:top w:w="80" w:type="dxa"/>
              <w:start w:w="120" w:type="dxa"/>
              <w:bottom w:w="80" w:type="dxa"/>
              <w:end w:w="120" w:type="dxa"/>
            </w:tcMar>
          </w:tcPr>
          <w:p>
            <w:pPr>
              <w:spacing w:after="0"/>
            </w:pPr>
            <w:r>
              <w:rPr>
                <w:rFonts w:ascii="Calibri" w:hAnsi="Calibri"/>
                <w:sz w:val="16"/>
              </w:rPr>
              <w:t>Keep NA values and explain in Table 2/Figure 2.</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not used for external discrimination claims</w:t>
            </w:r>
          </w:p>
        </w:tc>
      </w:tr>
      <w:tr>
        <w:tc>
          <w:tcPr>
            <w:tcW w:type="dxa" w:w="1560"/>
            <w:vAlign w:val="center"/>
            <w:tcMar>
              <w:top w:w="80" w:type="dxa"/>
              <w:start w:w="120" w:type="dxa"/>
              <w:bottom w:w="80" w:type="dxa"/>
              <w:end w:w="120" w:type="dxa"/>
            </w:tcMar>
          </w:tcPr>
          <w:p>
            <w:pPr>
              <w:spacing w:after="0"/>
            </w:pPr>
            <w:r>
              <w:rPr>
                <w:rFonts w:ascii="Calibri" w:hAnsi="Calibri"/>
                <w:sz w:val="16"/>
              </w:rPr>
              <w:t>External patient identifiers limited</w:t>
            </w:r>
          </w:p>
        </w:tc>
        <w:tc>
          <w:tcPr>
            <w:tcW w:type="dxa" w:w="1560"/>
            <w:vAlign w:val="center"/>
            <w:tcMar>
              <w:top w:w="80" w:type="dxa"/>
              <w:start w:w="120" w:type="dxa"/>
              <w:bottom w:w="80" w:type="dxa"/>
              <w:end w:w="120" w:type="dxa"/>
            </w:tcMar>
          </w:tcPr>
          <w:p>
            <w:pPr>
              <w:spacing w:after="0"/>
            </w:pPr>
            <w:r>
              <w:rPr>
                <w:rFonts w:ascii="Calibri" w:hAnsi="Calibri"/>
                <w:sz w:val="16"/>
              </w:rPr>
              <w:t>Affects bootstrap interpretation.</w:t>
            </w:r>
          </w:p>
        </w:tc>
        <w:tc>
          <w:tcPr>
            <w:tcW w:type="dxa" w:w="1560"/>
            <w:vAlign w:val="center"/>
            <w:tcMar>
              <w:top w:w="80" w:type="dxa"/>
              <w:start w:w="120" w:type="dxa"/>
              <w:bottom w:w="80" w:type="dxa"/>
              <w:end w:w="120" w:type="dxa"/>
            </w:tcMar>
          </w:tcPr>
          <w:p>
            <w:pPr>
              <w:spacing w:after="0"/>
            </w:pPr>
            <w:r>
              <w:rPr>
                <w:rFonts w:ascii="Calibri" w:hAnsi="Calibri"/>
                <w:sz w:val="16"/>
              </w:rPr>
              <w:t>Image identifiers used.</w:t>
            </w:r>
          </w:p>
        </w:tc>
        <w:tc>
          <w:tcPr>
            <w:tcW w:type="dxa" w:w="1560"/>
            <w:vAlign w:val="center"/>
            <w:tcMar>
              <w:top w:w="80" w:type="dxa"/>
              <w:start w:w="120" w:type="dxa"/>
              <w:bottom w:w="80" w:type="dxa"/>
              <w:end w:w="120" w:type="dxa"/>
            </w:tcMar>
          </w:tcPr>
          <w:p>
            <w:pPr>
              <w:spacing w:after="0"/>
            </w:pPr>
            <w:r>
              <w:rPr>
                <w:rFonts w:ascii="Calibri" w:hAnsi="Calibri"/>
                <w:sz w:val="16"/>
              </w:rPr>
              <w:t>State image-identifier-level bootstrap approximation.</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image-identifier-level bootstrap approximation</w:t>
            </w:r>
          </w:p>
        </w:tc>
      </w:tr>
      <w:tr>
        <w:tc>
          <w:tcPr>
            <w:tcW w:type="dxa" w:w="1560"/>
            <w:vAlign w:val="center"/>
            <w:tcMar>
              <w:top w:w="80" w:type="dxa"/>
              <w:start w:w="120" w:type="dxa"/>
              <w:bottom w:w="80" w:type="dxa"/>
              <w:end w:w="120" w:type="dxa"/>
            </w:tcMar>
          </w:tcPr>
          <w:p>
            <w:pPr>
              <w:spacing w:after="0"/>
            </w:pPr>
            <w:r>
              <w:rPr>
                <w:rFonts w:ascii="Calibri" w:hAnsi="Calibri"/>
                <w:sz w:val="16"/>
              </w:rPr>
              <w:t>External bootstrap approximation</w:t>
            </w:r>
          </w:p>
        </w:tc>
        <w:tc>
          <w:tcPr>
            <w:tcW w:type="dxa" w:w="1560"/>
            <w:vAlign w:val="center"/>
            <w:tcMar>
              <w:top w:w="80" w:type="dxa"/>
              <w:start w:w="120" w:type="dxa"/>
              <w:bottom w:w="80" w:type="dxa"/>
              <w:end w:w="120" w:type="dxa"/>
            </w:tcMar>
          </w:tcPr>
          <w:p>
            <w:pPr>
              <w:spacing w:after="0"/>
            </w:pPr>
            <w:r>
              <w:rPr>
                <w:rFonts w:ascii="Calibri" w:hAnsi="Calibri"/>
                <w:sz w:val="16"/>
              </w:rPr>
              <w:t>CIs may be optimistic if images are correlated.</w:t>
            </w:r>
          </w:p>
        </w:tc>
        <w:tc>
          <w:tcPr>
            <w:tcW w:type="dxa" w:w="1560"/>
            <w:vAlign w:val="center"/>
            <w:tcMar>
              <w:top w:w="80" w:type="dxa"/>
              <w:start w:w="120" w:type="dxa"/>
              <w:bottom w:w="80" w:type="dxa"/>
              <w:end w:w="120" w:type="dxa"/>
            </w:tcMar>
          </w:tcPr>
          <w:p>
            <w:pPr>
              <w:spacing w:after="0"/>
            </w:pPr>
            <w:r>
              <w:rPr>
                <w:rFonts w:ascii="Calibri" w:hAnsi="Calibri"/>
                <w:sz w:val="16"/>
              </w:rPr>
              <w:t>Disclosed.</w:t>
            </w:r>
          </w:p>
        </w:tc>
        <w:tc>
          <w:tcPr>
            <w:tcW w:type="dxa" w:w="1560"/>
            <w:vAlign w:val="center"/>
            <w:tcMar>
              <w:top w:w="80" w:type="dxa"/>
              <w:start w:w="120" w:type="dxa"/>
              <w:bottom w:w="80" w:type="dxa"/>
              <w:end w:w="120" w:type="dxa"/>
            </w:tcMar>
          </w:tcPr>
          <w:p>
            <w:pPr>
              <w:spacing w:after="0"/>
            </w:pPr>
            <w:r>
              <w:rPr>
                <w:rFonts w:ascii="Calibri" w:hAnsi="Calibri"/>
                <w:sz w:val="16"/>
              </w:rPr>
              <w:t>Retain as limitation.</w:t>
            </w:r>
          </w:p>
        </w:tc>
        <w:tc>
          <w:tcPr>
            <w:tcW w:type="dxa" w:w="1560"/>
            <w:vAlign w:val="center"/>
            <w:tcMar>
              <w:top w:w="80" w:type="dxa"/>
              <w:start w:w="120" w:type="dxa"/>
              <w:bottom w:w="80" w:type="dxa"/>
              <w:end w:w="120" w:type="dxa"/>
            </w:tcMar>
          </w:tcPr>
          <w:p>
            <w:pPr>
              <w:spacing w:after="0"/>
            </w:pPr>
            <w:r>
              <w:rPr>
                <w:rFonts w:ascii="Calibri" w:hAnsi="Calibri"/>
                <w:sz w:val="16"/>
              </w:rPr>
              <w:t>Medium</w:t>
            </w:r>
          </w:p>
        </w:tc>
        <w:tc>
          <w:tcPr>
            <w:tcW w:type="dxa" w:w="1560"/>
            <w:vAlign w:val="center"/>
            <w:tcMar>
              <w:top w:w="80" w:type="dxa"/>
              <w:start w:w="120" w:type="dxa"/>
              <w:bottom w:w="80" w:type="dxa"/>
              <w:end w:w="120" w:type="dxa"/>
            </w:tcMar>
          </w:tcPr>
          <w:p>
            <w:pPr>
              <w:spacing w:after="0"/>
            </w:pPr>
            <w:r>
              <w:rPr>
                <w:rFonts w:ascii="Calibri" w:hAnsi="Calibri"/>
                <w:sz w:val="16"/>
              </w:rPr>
              <w:t>interpreted as an approximation</w:t>
            </w:r>
          </w:p>
        </w:tc>
      </w:tr>
      <w:tr>
        <w:tc>
          <w:tcPr>
            <w:tcW w:type="dxa" w:w="1560"/>
            <w:vAlign w:val="center"/>
            <w:tcMar>
              <w:top w:w="80" w:type="dxa"/>
              <w:start w:w="120" w:type="dxa"/>
              <w:bottom w:w="80" w:type="dxa"/>
              <w:end w:w="120" w:type="dxa"/>
            </w:tcMar>
          </w:tcPr>
          <w:p>
            <w:pPr>
              <w:spacing w:after="0"/>
            </w:pPr>
            <w:r>
              <w:rPr>
                <w:rFonts w:ascii="Calibri" w:hAnsi="Calibri"/>
                <w:sz w:val="16"/>
              </w:rPr>
              <w:t>AUPRC prevalence sensitivity</w:t>
            </w:r>
          </w:p>
        </w:tc>
        <w:tc>
          <w:tcPr>
            <w:tcW w:type="dxa" w:w="1560"/>
            <w:vAlign w:val="center"/>
            <w:tcMar>
              <w:top w:w="80" w:type="dxa"/>
              <w:start w:w="120" w:type="dxa"/>
              <w:bottom w:w="80" w:type="dxa"/>
              <w:end w:w="120" w:type="dxa"/>
            </w:tcMar>
          </w:tcPr>
          <w:p>
            <w:pPr>
              <w:spacing w:after="0"/>
            </w:pPr>
            <w:r>
              <w:rPr>
                <w:rFonts w:ascii="Calibri" w:hAnsi="Calibri"/>
                <w:sz w:val="16"/>
              </w:rPr>
              <w:t>External AUPRC can rise with prevalence/case mix.</w:t>
            </w:r>
          </w:p>
        </w:tc>
        <w:tc>
          <w:tcPr>
            <w:tcW w:type="dxa" w:w="1560"/>
            <w:vAlign w:val="center"/>
            <w:tcMar>
              <w:top w:w="80" w:type="dxa"/>
              <w:start w:w="120" w:type="dxa"/>
              <w:bottom w:w="80" w:type="dxa"/>
              <w:end w:w="120" w:type="dxa"/>
            </w:tcMar>
          </w:tcPr>
          <w:p>
            <w:pPr>
              <w:spacing w:after="0"/>
            </w:pPr>
            <w:r>
              <w:rPr>
                <w:rFonts w:ascii="Calibri" w:hAnsi="Calibri"/>
                <w:sz w:val="16"/>
              </w:rPr>
              <w:t>AUPRC lift table generated.</w:t>
            </w:r>
          </w:p>
        </w:tc>
        <w:tc>
          <w:tcPr>
            <w:tcW w:type="dxa" w:w="1560"/>
            <w:vAlign w:val="center"/>
            <w:tcMar>
              <w:top w:w="80" w:type="dxa"/>
              <w:start w:w="120" w:type="dxa"/>
              <w:bottom w:w="80" w:type="dxa"/>
              <w:end w:w="120" w:type="dxa"/>
            </w:tcMar>
          </w:tcPr>
          <w:p>
            <w:pPr>
              <w:spacing w:after="0"/>
            </w:pPr>
            <w:r>
              <w:rPr>
                <w:rFonts w:ascii="Calibri" w:hAnsi="Calibri"/>
                <w:sz w:val="16"/>
              </w:rPr>
              <w:t>Discuss prevalence baseline.</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prevalence-aware interpretation</w:t>
            </w:r>
          </w:p>
        </w:tc>
      </w:tr>
      <w:tr>
        <w:tc>
          <w:tcPr>
            <w:tcW w:type="dxa" w:w="1560"/>
            <w:vAlign w:val="center"/>
            <w:tcMar>
              <w:top w:w="80" w:type="dxa"/>
              <w:start w:w="120" w:type="dxa"/>
              <w:bottom w:w="80" w:type="dxa"/>
              <w:end w:w="120" w:type="dxa"/>
            </w:tcMar>
          </w:tcPr>
          <w:p>
            <w:pPr>
              <w:spacing w:after="0"/>
            </w:pPr>
            <w:r>
              <w:rPr>
                <w:rFonts w:ascii="Calibri" w:hAnsi="Calibri"/>
                <w:sz w:val="16"/>
              </w:rPr>
              <w:t>Calibration transfer instability</w:t>
            </w:r>
          </w:p>
        </w:tc>
        <w:tc>
          <w:tcPr>
            <w:tcW w:type="dxa" w:w="1560"/>
            <w:vAlign w:val="center"/>
            <w:tcMar>
              <w:top w:w="80" w:type="dxa"/>
              <w:start w:w="120" w:type="dxa"/>
              <w:bottom w:w="80" w:type="dxa"/>
              <w:end w:w="120" w:type="dxa"/>
            </w:tcMar>
          </w:tcPr>
          <w:p>
            <w:pPr>
              <w:spacing w:after="0"/>
            </w:pPr>
            <w:r>
              <w:rPr>
                <w:rFonts w:ascii="Calibri" w:hAnsi="Calibri"/>
                <w:sz w:val="16"/>
              </w:rPr>
              <w:t>ECE alone can be misleading.</w:t>
            </w:r>
          </w:p>
        </w:tc>
        <w:tc>
          <w:tcPr>
            <w:tcW w:type="dxa" w:w="1560"/>
            <w:vAlign w:val="center"/>
            <w:tcMar>
              <w:top w:w="80" w:type="dxa"/>
              <w:start w:w="120" w:type="dxa"/>
              <w:bottom w:w="80" w:type="dxa"/>
              <w:end w:w="120" w:type="dxa"/>
            </w:tcMar>
          </w:tcPr>
          <w:p>
            <w:pPr>
              <w:spacing w:after="0"/>
            </w:pPr>
            <w:r>
              <w:rPr>
                <w:rFonts w:ascii="Calibri" w:hAnsi="Calibri"/>
                <w:sz w:val="16"/>
              </w:rPr>
              <w:t>Brier/ECE/MCE/slope/intercept reported.</w:t>
            </w:r>
          </w:p>
        </w:tc>
        <w:tc>
          <w:tcPr>
            <w:tcW w:type="dxa" w:w="1560"/>
            <w:vAlign w:val="center"/>
            <w:tcMar>
              <w:top w:w="80" w:type="dxa"/>
              <w:start w:w="120" w:type="dxa"/>
              <w:bottom w:w="80" w:type="dxa"/>
              <w:end w:w="120" w:type="dxa"/>
            </w:tcMar>
          </w:tcPr>
          <w:p>
            <w:pPr>
              <w:spacing w:after="0"/>
            </w:pPr>
            <w:r>
              <w:rPr>
                <w:rFonts w:ascii="Calibri" w:hAnsi="Calibri"/>
                <w:sz w:val="16"/>
              </w:rPr>
              <w:t>Avoid global improvement claims.</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method-dependent calibration effects</w:t>
            </w:r>
          </w:p>
        </w:tc>
      </w:tr>
      <w:tr>
        <w:tc>
          <w:tcPr>
            <w:tcW w:type="dxa" w:w="1560"/>
            <w:vAlign w:val="center"/>
            <w:tcMar>
              <w:top w:w="80" w:type="dxa"/>
              <w:start w:w="120" w:type="dxa"/>
              <w:bottom w:w="80" w:type="dxa"/>
              <w:end w:w="120" w:type="dxa"/>
            </w:tcMar>
          </w:tcPr>
          <w:p>
            <w:pPr>
              <w:spacing w:after="0"/>
            </w:pPr>
            <w:r>
              <w:rPr>
                <w:rFonts w:ascii="Calibri" w:hAnsi="Calibri"/>
                <w:sz w:val="16"/>
              </w:rPr>
              <w:t>Grad-CAM++ overinterpretation</w:t>
            </w:r>
          </w:p>
        </w:tc>
        <w:tc>
          <w:tcPr>
            <w:tcW w:type="dxa" w:w="1560"/>
            <w:vAlign w:val="center"/>
            <w:tcMar>
              <w:top w:w="80" w:type="dxa"/>
              <w:start w:w="120" w:type="dxa"/>
              <w:bottom w:w="80" w:type="dxa"/>
              <w:end w:w="120" w:type="dxa"/>
            </w:tcMar>
          </w:tcPr>
          <w:p>
            <w:pPr>
              <w:spacing w:after="0"/>
            </w:pPr>
            <w:r>
              <w:rPr>
                <w:rFonts w:ascii="Calibri" w:hAnsi="Calibri"/>
                <w:sz w:val="16"/>
              </w:rPr>
              <w:t>Saliency is not proof of reasoning.</w:t>
            </w:r>
          </w:p>
        </w:tc>
        <w:tc>
          <w:tcPr>
            <w:tcW w:type="dxa" w:w="1560"/>
            <w:vAlign w:val="center"/>
            <w:tcMar>
              <w:top w:w="80" w:type="dxa"/>
              <w:start w:w="120" w:type="dxa"/>
              <w:bottom w:w="80" w:type="dxa"/>
              <w:end w:w="120" w:type="dxa"/>
            </w:tcMar>
          </w:tcPr>
          <w:p>
            <w:pPr>
              <w:spacing w:after="0"/>
            </w:pPr>
            <w:r>
              <w:rPr>
                <w:rFonts w:ascii="Calibri" w:hAnsi="Calibri"/>
                <w:sz w:val="16"/>
              </w:rPr>
              <w:t>Qualitative-only wording used.</w:t>
            </w:r>
          </w:p>
        </w:tc>
        <w:tc>
          <w:tcPr>
            <w:tcW w:type="dxa" w:w="1560"/>
            <w:vAlign w:val="center"/>
            <w:tcMar>
              <w:top w:w="80" w:type="dxa"/>
              <w:start w:w="120" w:type="dxa"/>
              <w:bottom w:w="80" w:type="dxa"/>
              <w:end w:w="120" w:type="dxa"/>
            </w:tcMar>
          </w:tcPr>
          <w:p>
            <w:pPr>
              <w:spacing w:after="0"/>
            </w:pPr>
            <w:r>
              <w:rPr>
                <w:rFonts w:ascii="Calibri" w:hAnsi="Calibri"/>
                <w:sz w:val="16"/>
              </w:rPr>
              <w:t>Keep limitation in caption and discussion.</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qualitative failure-mode review</w:t>
            </w:r>
          </w:p>
        </w:tc>
      </w:tr>
      <w:tr>
        <w:tc>
          <w:tcPr>
            <w:tcW w:type="dxa" w:w="1560"/>
            <w:vAlign w:val="center"/>
            <w:tcMar>
              <w:top w:w="80" w:type="dxa"/>
              <w:start w:w="120" w:type="dxa"/>
              <w:bottom w:w="80" w:type="dxa"/>
              <w:end w:w="120" w:type="dxa"/>
            </w:tcMar>
          </w:tcPr>
          <w:p>
            <w:pPr>
              <w:spacing w:after="0"/>
            </w:pPr>
            <w:r>
              <w:rPr>
                <w:rFonts w:ascii="Calibri" w:hAnsi="Calibri"/>
                <w:sz w:val="16"/>
              </w:rPr>
              <w:t>No prospective validation</w:t>
            </w:r>
          </w:p>
        </w:tc>
        <w:tc>
          <w:tcPr>
            <w:tcW w:type="dxa" w:w="1560"/>
            <w:vAlign w:val="center"/>
            <w:tcMar>
              <w:top w:w="80" w:type="dxa"/>
              <w:start w:w="120" w:type="dxa"/>
              <w:bottom w:w="80" w:type="dxa"/>
              <w:end w:w="120" w:type="dxa"/>
            </w:tcMar>
          </w:tcPr>
          <w:p>
            <w:pPr>
              <w:spacing w:after="0"/>
            </w:pPr>
            <w:r>
              <w:rPr>
                <w:rFonts w:ascii="Calibri" w:hAnsi="Calibri"/>
                <w:sz w:val="16"/>
              </w:rPr>
              <w:t>Limits clinical inference.</w:t>
            </w:r>
          </w:p>
        </w:tc>
        <w:tc>
          <w:tcPr>
            <w:tcW w:type="dxa" w:w="1560"/>
            <w:vAlign w:val="center"/>
            <w:tcMar>
              <w:top w:w="80" w:type="dxa"/>
              <w:start w:w="120" w:type="dxa"/>
              <w:bottom w:w="80" w:type="dxa"/>
              <w:end w:w="120" w:type="dxa"/>
            </w:tcMar>
          </w:tcPr>
          <w:p>
            <w:pPr>
              <w:spacing w:after="0"/>
            </w:pPr>
            <w:r>
              <w:rPr>
                <w:rFonts w:ascii="Calibri" w:hAnsi="Calibri"/>
                <w:sz w:val="16"/>
              </w:rPr>
              <w:t>Acknowledged.</w:t>
            </w:r>
          </w:p>
        </w:tc>
        <w:tc>
          <w:tcPr>
            <w:tcW w:type="dxa" w:w="1560"/>
            <w:vAlign w:val="center"/>
            <w:tcMar>
              <w:top w:w="80" w:type="dxa"/>
              <w:start w:w="120" w:type="dxa"/>
              <w:bottom w:w="80" w:type="dxa"/>
              <w:end w:w="120" w:type="dxa"/>
            </w:tcMar>
          </w:tcPr>
          <w:p>
            <w:pPr>
              <w:spacing w:after="0"/>
            </w:pPr>
            <w:r>
              <w:rPr>
                <w:rFonts w:ascii="Calibri" w:hAnsi="Calibri"/>
                <w:sz w:val="16"/>
              </w:rPr>
              <w:t>Do not claim deployment readiness.</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does not establish clinical readiness</w:t>
            </w:r>
          </w:p>
        </w:tc>
      </w:tr>
      <w:tr>
        <w:tc>
          <w:tcPr>
            <w:tcW w:type="dxa" w:w="1560"/>
            <w:vAlign w:val="center"/>
            <w:tcMar>
              <w:top w:w="80" w:type="dxa"/>
              <w:start w:w="120" w:type="dxa"/>
              <w:bottom w:w="80" w:type="dxa"/>
              <w:end w:w="120" w:type="dxa"/>
            </w:tcMar>
          </w:tcPr>
          <w:p>
            <w:pPr>
              <w:spacing w:after="0"/>
            </w:pPr>
            <w:r>
              <w:rPr>
                <w:rFonts w:ascii="Calibri" w:hAnsi="Calibri"/>
                <w:sz w:val="16"/>
              </w:rPr>
              <w:t>No reader study</w:t>
            </w:r>
          </w:p>
        </w:tc>
        <w:tc>
          <w:tcPr>
            <w:tcW w:type="dxa" w:w="1560"/>
            <w:vAlign w:val="center"/>
            <w:tcMar>
              <w:top w:w="80" w:type="dxa"/>
              <w:start w:w="120" w:type="dxa"/>
              <w:bottom w:w="80" w:type="dxa"/>
              <w:end w:w="120" w:type="dxa"/>
            </w:tcMar>
          </w:tcPr>
          <w:p>
            <w:pPr>
              <w:spacing w:after="0"/>
            </w:pPr>
            <w:r>
              <w:rPr>
                <w:rFonts w:ascii="Calibri" w:hAnsi="Calibri"/>
                <w:sz w:val="16"/>
              </w:rPr>
              <w:t>Cannot compare with radiologists.</w:t>
            </w:r>
          </w:p>
        </w:tc>
        <w:tc>
          <w:tcPr>
            <w:tcW w:type="dxa" w:w="1560"/>
            <w:vAlign w:val="center"/>
            <w:tcMar>
              <w:top w:w="80" w:type="dxa"/>
              <w:start w:w="120" w:type="dxa"/>
              <w:bottom w:w="80" w:type="dxa"/>
              <w:end w:w="120" w:type="dxa"/>
            </w:tcMar>
          </w:tcPr>
          <w:p>
            <w:pPr>
              <w:spacing w:after="0"/>
            </w:pPr>
            <w:r>
              <w:rPr>
                <w:rFonts w:ascii="Calibri" w:hAnsi="Calibri"/>
                <w:sz w:val="16"/>
              </w:rPr>
              <w:t>Acknowledged.</w:t>
            </w:r>
          </w:p>
        </w:tc>
        <w:tc>
          <w:tcPr>
            <w:tcW w:type="dxa" w:w="1560"/>
            <w:vAlign w:val="center"/>
            <w:tcMar>
              <w:top w:w="80" w:type="dxa"/>
              <w:start w:w="120" w:type="dxa"/>
              <w:bottom w:w="80" w:type="dxa"/>
              <w:end w:w="120" w:type="dxa"/>
            </w:tcMar>
          </w:tcPr>
          <w:p>
            <w:pPr>
              <w:spacing w:after="0"/>
            </w:pPr>
            <w:r>
              <w:rPr>
                <w:rFonts w:ascii="Calibri" w:hAnsi="Calibri"/>
                <w:sz w:val="16"/>
              </w:rPr>
              <w:t>Avoid radiologist-level claims.</w:t>
            </w:r>
          </w:p>
        </w:tc>
        <w:tc>
          <w:tcPr>
            <w:tcW w:type="dxa" w:w="1560"/>
            <w:vAlign w:val="center"/>
            <w:tcMar>
              <w:top w:w="80" w:type="dxa"/>
              <w:start w:w="120" w:type="dxa"/>
              <w:bottom w:w="80" w:type="dxa"/>
              <w:end w:w="120" w:type="dxa"/>
            </w:tcMar>
          </w:tcPr>
          <w:p>
            <w:pPr>
              <w:spacing w:after="0"/>
            </w:pPr>
            <w:r>
              <w:rPr>
                <w:rFonts w:ascii="Calibri" w:hAnsi="Calibri"/>
                <w:sz w:val="16"/>
              </w:rPr>
              <w:t>Medium</w:t>
            </w:r>
          </w:p>
        </w:tc>
        <w:tc>
          <w:tcPr>
            <w:tcW w:type="dxa" w:w="1560"/>
            <w:vAlign w:val="center"/>
            <w:tcMar>
              <w:top w:w="80" w:type="dxa"/>
              <w:start w:w="120" w:type="dxa"/>
              <w:bottom w:w="80" w:type="dxa"/>
              <w:end w:w="120" w:type="dxa"/>
            </w:tcMar>
          </w:tcPr>
          <w:p>
            <w:pPr>
              <w:spacing w:after="0"/>
            </w:pPr>
            <w:r>
              <w:rPr>
                <w:rFonts w:ascii="Calibri" w:hAnsi="Calibri"/>
                <w:sz w:val="16"/>
              </w:rPr>
              <w:t>not compared with readers</w:t>
            </w:r>
          </w:p>
        </w:tc>
      </w:tr>
      <w:tr>
        <w:tc>
          <w:tcPr>
            <w:tcW w:type="dxa" w:w="1560"/>
            <w:vAlign w:val="center"/>
            <w:tcMar>
              <w:top w:w="80" w:type="dxa"/>
              <w:start w:w="120" w:type="dxa"/>
              <w:bottom w:w="80" w:type="dxa"/>
              <w:end w:w="120" w:type="dxa"/>
            </w:tcMar>
          </w:tcPr>
          <w:p>
            <w:pPr>
              <w:spacing w:after="0"/>
            </w:pPr>
            <w:r>
              <w:rPr>
                <w:rFonts w:ascii="Calibri" w:hAnsi="Calibri"/>
                <w:sz w:val="16"/>
              </w:rPr>
              <w:t>Table formatting</w:t>
            </w:r>
          </w:p>
        </w:tc>
        <w:tc>
          <w:tcPr>
            <w:tcW w:type="dxa" w:w="1560"/>
            <w:vAlign w:val="center"/>
            <w:tcMar>
              <w:top w:w="80" w:type="dxa"/>
              <w:start w:w="120" w:type="dxa"/>
              <w:bottom w:w="80" w:type="dxa"/>
              <w:end w:w="120" w:type="dxa"/>
            </w:tcMar>
          </w:tcPr>
          <w:p>
            <w:pPr>
              <w:spacing w:after="0"/>
            </w:pPr>
            <w:r>
              <w:rPr>
                <w:rFonts w:ascii="Calibri" w:hAnsi="Calibri"/>
                <w:sz w:val="16"/>
              </w:rPr>
              <w:t>Wide tables may be hard to fit.</w:t>
            </w:r>
          </w:p>
        </w:tc>
        <w:tc>
          <w:tcPr>
            <w:tcW w:type="dxa" w:w="1560"/>
            <w:vAlign w:val="center"/>
            <w:tcMar>
              <w:top w:w="80" w:type="dxa"/>
              <w:start w:w="120" w:type="dxa"/>
              <w:bottom w:w="80" w:type="dxa"/>
              <w:end w:w="120" w:type="dxa"/>
            </w:tcMar>
          </w:tcPr>
          <w:p>
            <w:pPr>
              <w:spacing w:after="0"/>
            </w:pPr>
            <w:r>
              <w:rPr>
                <w:rFonts w:ascii="Calibri" w:hAnsi="Calibri"/>
                <w:sz w:val="16"/>
              </w:rPr>
              <w:t>Final15 compact tables created.</w:t>
            </w:r>
          </w:p>
        </w:tc>
        <w:tc>
          <w:tcPr>
            <w:tcW w:type="dxa" w:w="1560"/>
            <w:vAlign w:val="center"/>
            <w:tcMar>
              <w:top w:w="80" w:type="dxa"/>
              <w:start w:w="120" w:type="dxa"/>
              <w:bottom w:w="80" w:type="dxa"/>
              <w:end w:w="120" w:type="dxa"/>
            </w:tcMar>
          </w:tcPr>
          <w:p>
            <w:pPr>
              <w:spacing w:after="0"/>
            </w:pPr>
            <w:r>
              <w:rPr>
                <w:rFonts w:ascii="Calibri" w:hAnsi="Calibri"/>
                <w:sz w:val="16"/>
              </w:rPr>
              <w:t>Move subgroup table to supplement if journal space is limited.</w:t>
            </w:r>
          </w:p>
        </w:tc>
        <w:tc>
          <w:tcPr>
            <w:tcW w:type="dxa" w:w="1560"/>
            <w:vAlign w:val="center"/>
            <w:tcMar>
              <w:top w:w="80" w:type="dxa"/>
              <w:start w:w="120" w:type="dxa"/>
              <w:bottom w:w="80" w:type="dxa"/>
              <w:end w:w="120" w:type="dxa"/>
            </w:tcMar>
          </w:tcPr>
          <w:p>
            <w:pPr>
              <w:spacing w:after="0"/>
            </w:pPr>
            <w:r>
              <w:rPr>
                <w:rFonts w:ascii="Calibri" w:hAnsi="Calibri"/>
                <w:sz w:val="16"/>
              </w:rPr>
              <w:t>Medium</w:t>
            </w:r>
          </w:p>
        </w:tc>
        <w:tc>
          <w:tcPr>
            <w:tcW w:type="dxa" w:w="1560"/>
            <w:vAlign w:val="center"/>
            <w:tcMar>
              <w:top w:w="80" w:type="dxa"/>
              <w:start w:w="120" w:type="dxa"/>
              <w:bottom w:w="80" w:type="dxa"/>
              <w:end w:w="120" w:type="dxa"/>
            </w:tcMar>
          </w:tcPr>
          <w:p>
            <w:pPr>
              <w:spacing w:after="0"/>
            </w:pPr>
            <w:r>
              <w:rPr>
                <w:rFonts w:ascii="Calibri" w:hAnsi="Calibri"/>
                <w:sz w:val="16"/>
              </w:rPr>
              <w:t>compact main table with explanatory footnote</w:t>
            </w:r>
          </w:p>
        </w:tc>
      </w:tr>
      <w:tr>
        <w:tc>
          <w:tcPr>
            <w:tcW w:type="dxa" w:w="1560"/>
            <w:vAlign w:val="center"/>
            <w:tcMar>
              <w:top w:w="80" w:type="dxa"/>
              <w:start w:w="120" w:type="dxa"/>
              <w:bottom w:w="80" w:type="dxa"/>
              <w:end w:w="120" w:type="dxa"/>
            </w:tcMar>
          </w:tcPr>
          <w:p>
            <w:pPr>
              <w:spacing w:after="0"/>
            </w:pPr>
            <w:r>
              <w:rPr>
                <w:rFonts w:ascii="Calibri" w:hAnsi="Calibri"/>
                <w:sz w:val="16"/>
              </w:rPr>
              <w:t>Figure quality</w:t>
            </w:r>
          </w:p>
        </w:tc>
        <w:tc>
          <w:tcPr>
            <w:tcW w:type="dxa" w:w="1560"/>
            <w:vAlign w:val="center"/>
            <w:tcMar>
              <w:top w:w="80" w:type="dxa"/>
              <w:start w:w="120" w:type="dxa"/>
              <w:bottom w:w="80" w:type="dxa"/>
              <w:end w:w="120" w:type="dxa"/>
            </w:tcMar>
          </w:tcPr>
          <w:p>
            <w:pPr>
              <w:spacing w:after="0"/>
            </w:pPr>
            <w:r>
              <w:rPr>
                <w:rFonts w:ascii="Calibri" w:hAnsi="Calibri"/>
                <w:sz w:val="16"/>
              </w:rPr>
              <w:t>Journal may require 300 dpi TIFF.</w:t>
            </w:r>
          </w:p>
        </w:tc>
        <w:tc>
          <w:tcPr>
            <w:tcW w:type="dxa" w:w="1560"/>
            <w:vAlign w:val="center"/>
            <w:tcMar>
              <w:top w:w="80" w:type="dxa"/>
              <w:start w:w="120" w:type="dxa"/>
              <w:bottom w:w="80" w:type="dxa"/>
              <w:end w:w="120" w:type="dxa"/>
            </w:tcMar>
          </w:tcPr>
          <w:p>
            <w:pPr>
              <w:spacing w:after="0"/>
            </w:pPr>
            <w:r>
              <w:rPr>
                <w:rFonts w:ascii="Calibri" w:hAnsi="Calibri"/>
                <w:sz w:val="16"/>
              </w:rPr>
              <w:t>300 dpi TIFF exports generated.</w:t>
            </w:r>
          </w:p>
        </w:tc>
        <w:tc>
          <w:tcPr>
            <w:tcW w:type="dxa" w:w="1560"/>
            <w:vAlign w:val="center"/>
            <w:tcMar>
              <w:top w:w="80" w:type="dxa"/>
              <w:start w:w="120" w:type="dxa"/>
              <w:bottom w:w="80" w:type="dxa"/>
              <w:end w:w="120" w:type="dxa"/>
            </w:tcMar>
          </w:tcPr>
          <w:p>
            <w:pPr>
              <w:spacing w:after="0"/>
            </w:pPr>
            <w:r>
              <w:rPr>
                <w:rFonts w:ascii="Calibri" w:hAnsi="Calibri"/>
                <w:sz w:val="16"/>
              </w:rPr>
              <w:t>Upload TIFF or PDF according to journal.</w:t>
            </w:r>
          </w:p>
        </w:tc>
        <w:tc>
          <w:tcPr>
            <w:tcW w:type="dxa" w:w="1560"/>
            <w:vAlign w:val="center"/>
            <w:tcMar>
              <w:top w:w="80" w:type="dxa"/>
              <w:start w:w="120" w:type="dxa"/>
              <w:bottom w:w="80" w:type="dxa"/>
              <w:end w:w="120" w:type="dxa"/>
            </w:tcMar>
          </w:tcPr>
          <w:p>
            <w:pPr>
              <w:spacing w:after="0"/>
            </w:pPr>
            <w:r>
              <w:rPr>
                <w:rFonts w:ascii="Calibri" w:hAnsi="Calibri"/>
                <w:sz w:val="16"/>
              </w:rPr>
              <w:t>Medium</w:t>
            </w:r>
          </w:p>
        </w:tc>
        <w:tc>
          <w:tcPr>
            <w:tcW w:type="dxa" w:w="1560"/>
            <w:vAlign w:val="center"/>
            <w:tcMar>
              <w:top w:w="80" w:type="dxa"/>
              <w:start w:w="120" w:type="dxa"/>
              <w:bottom w:w="80" w:type="dxa"/>
              <w:end w:w="120" w:type="dxa"/>
            </w:tcMar>
          </w:tcPr>
          <w:p>
            <w:pPr>
              <w:spacing w:after="0"/>
            </w:pPr>
            <w:r>
              <w:rPr>
                <w:rFonts w:ascii="Calibri" w:hAnsi="Calibri"/>
                <w:sz w:val="16"/>
              </w:rPr>
              <w:t>300 dpi figure export</w:t>
            </w:r>
          </w:p>
        </w:tc>
      </w:tr>
      <w:tr>
        <w:tc>
          <w:tcPr>
            <w:tcW w:type="dxa" w:w="1560"/>
            <w:vAlign w:val="center"/>
            <w:tcMar>
              <w:top w:w="80" w:type="dxa"/>
              <w:start w:w="120" w:type="dxa"/>
              <w:bottom w:w="80" w:type="dxa"/>
              <w:end w:w="120" w:type="dxa"/>
            </w:tcMar>
          </w:tcPr>
          <w:p>
            <w:pPr>
              <w:spacing w:after="0"/>
            </w:pPr>
            <w:r>
              <w:rPr>
                <w:rFonts w:ascii="Calibri" w:hAnsi="Calibri"/>
                <w:sz w:val="16"/>
              </w:rPr>
              <w:t>Repository link missing</w:t>
            </w:r>
          </w:p>
        </w:tc>
        <w:tc>
          <w:tcPr>
            <w:tcW w:type="dxa" w:w="1560"/>
            <w:vAlign w:val="center"/>
            <w:tcMar>
              <w:top w:w="80" w:type="dxa"/>
              <w:start w:w="120" w:type="dxa"/>
              <w:bottom w:w="80" w:type="dxa"/>
              <w:end w:w="120" w:type="dxa"/>
            </w:tcMar>
          </w:tcPr>
          <w:p>
            <w:pPr>
              <w:spacing w:after="0"/>
            </w:pPr>
            <w:r>
              <w:rPr>
                <w:rFonts w:ascii="Calibri" w:hAnsi="Calibri"/>
                <w:sz w:val="16"/>
              </w:rPr>
              <w:t>Data/code availability incomplete.</w:t>
            </w:r>
          </w:p>
        </w:tc>
        <w:tc>
          <w:tcPr>
            <w:tcW w:type="dxa" w:w="1560"/>
            <w:vAlign w:val="center"/>
            <w:tcMar>
              <w:top w:w="80" w:type="dxa"/>
              <w:start w:w="120" w:type="dxa"/>
              <w:bottom w:w="80" w:type="dxa"/>
              <w:end w:w="120" w:type="dxa"/>
            </w:tcMar>
          </w:tcPr>
          <w:p>
            <w:pPr>
              <w:spacing w:after="0"/>
            </w:pPr>
            <w:r>
              <w:rPr>
                <w:rFonts w:ascii="Calibri" w:hAnsi="Calibri"/>
                <w:sz w:val="16"/>
              </w:rPr>
              <w:t>Placeholder retained.</w:t>
            </w:r>
          </w:p>
        </w:tc>
        <w:tc>
          <w:tcPr>
            <w:tcW w:type="dxa" w:w="1560"/>
            <w:vAlign w:val="center"/>
            <w:tcMar>
              <w:top w:w="80" w:type="dxa"/>
              <w:start w:w="120" w:type="dxa"/>
              <w:bottom w:w="80" w:type="dxa"/>
              <w:end w:w="120" w:type="dxa"/>
            </w:tcMar>
          </w:tcPr>
          <w:p>
            <w:pPr>
              <w:spacing w:after="0"/>
            </w:pPr>
            <w:r>
              <w:rPr>
                <w:rFonts w:ascii="Calibri" w:hAnsi="Calibri"/>
                <w:sz w:val="16"/>
              </w:rPr>
              <w:t>Fill repository or archive link.</w:t>
            </w:r>
          </w:p>
        </w:tc>
        <w:tc>
          <w:tcPr>
            <w:tcW w:type="dxa" w:w="1560"/>
            <w:vAlign w:val="center"/>
            <w:tcMar>
              <w:top w:w="80" w:type="dxa"/>
              <w:start w:w="120" w:type="dxa"/>
              <w:bottom w:w="80" w:type="dxa"/>
              <w:end w:w="120" w:type="dxa"/>
            </w:tcMar>
          </w:tcPr>
          <w:p>
            <w:pPr>
              <w:spacing w:after="0"/>
            </w:pPr>
            <w:r>
              <w:rPr>
                <w:rFonts w:ascii="Calibri" w:hAnsi="Calibri"/>
                <w:sz w:val="16"/>
              </w:rPr>
              <w:t>High</w:t>
            </w:r>
          </w:p>
        </w:tc>
        <w:tc>
          <w:tcPr>
            <w:tcW w:type="dxa" w:w="1560"/>
            <w:vAlign w:val="center"/>
            <w:tcMar>
              <w:top w:w="80" w:type="dxa"/>
              <w:start w:w="120" w:type="dxa"/>
              <w:bottom w:w="80" w:type="dxa"/>
              <w:end w:w="120" w:type="dxa"/>
            </w:tcMar>
          </w:tcPr>
          <w:p>
            <w:pPr>
              <w:spacing w:after="0"/>
            </w:pPr>
            <w:r>
              <w:rPr>
                <w:rFonts w:ascii="Calibri" w:hAnsi="Calibri"/>
                <w:sz w:val="16"/>
              </w:rPr>
              <w:t>[TO BE FILLED: repository or archive link]</w:t>
            </w:r>
          </w:p>
        </w:tc>
      </w:tr>
      <w:tr>
        <w:tc>
          <w:tcPr>
            <w:tcW w:type="dxa" w:w="1560"/>
            <w:vAlign w:val="center"/>
            <w:tcMar>
              <w:top w:w="80" w:type="dxa"/>
              <w:start w:w="120" w:type="dxa"/>
              <w:bottom w:w="80" w:type="dxa"/>
              <w:end w:w="120" w:type="dxa"/>
            </w:tcMar>
          </w:tcPr>
          <w:p>
            <w:pPr>
              <w:spacing w:after="0"/>
            </w:pPr>
            <w:r>
              <w:rPr>
                <w:rFonts w:ascii="Calibri" w:hAnsi="Calibri"/>
                <w:sz w:val="16"/>
              </w:rPr>
              <w:t>Reference format not finalized</w:t>
            </w:r>
          </w:p>
        </w:tc>
        <w:tc>
          <w:tcPr>
            <w:tcW w:type="dxa" w:w="1560"/>
            <w:vAlign w:val="center"/>
            <w:tcMar>
              <w:top w:w="80" w:type="dxa"/>
              <w:start w:w="120" w:type="dxa"/>
              <w:bottom w:w="80" w:type="dxa"/>
              <w:end w:w="120" w:type="dxa"/>
            </w:tcMar>
          </w:tcPr>
          <w:p>
            <w:pPr>
              <w:spacing w:after="0"/>
            </w:pPr>
            <w:r>
              <w:rPr>
                <w:rFonts w:ascii="Calibri" w:hAnsi="Calibri"/>
                <w:sz w:val="16"/>
              </w:rPr>
              <w:t>Submission can be delayed or rejected at technical check.</w:t>
            </w:r>
          </w:p>
        </w:tc>
        <w:tc>
          <w:tcPr>
            <w:tcW w:type="dxa" w:w="1560"/>
            <w:vAlign w:val="center"/>
            <w:tcMar>
              <w:top w:w="80" w:type="dxa"/>
              <w:start w:w="120" w:type="dxa"/>
              <w:bottom w:w="80" w:type="dxa"/>
              <w:end w:w="120" w:type="dxa"/>
            </w:tcMar>
          </w:tcPr>
          <w:p>
            <w:pPr>
              <w:spacing w:after="0"/>
            </w:pPr>
            <w:r>
              <w:rPr>
                <w:rFonts w:ascii="Calibri" w:hAnsi="Calibri"/>
                <w:sz w:val="16"/>
              </w:rPr>
              <w:t>Reference advice generated.</w:t>
            </w:r>
          </w:p>
        </w:tc>
        <w:tc>
          <w:tcPr>
            <w:tcW w:type="dxa" w:w="1560"/>
            <w:vAlign w:val="center"/>
            <w:tcMar>
              <w:top w:w="80" w:type="dxa"/>
              <w:start w:w="120" w:type="dxa"/>
              <w:bottom w:w="80" w:type="dxa"/>
              <w:end w:w="120" w:type="dxa"/>
            </w:tcMar>
          </w:tcPr>
          <w:p>
            <w:pPr>
              <w:spacing w:after="0"/>
            </w:pPr>
            <w:r>
              <w:rPr>
                <w:rFonts w:ascii="Calibri" w:hAnsi="Calibri"/>
                <w:sz w:val="16"/>
              </w:rPr>
              <w:t>Verify DOI and apply Vancouver style.</w:t>
            </w:r>
          </w:p>
        </w:tc>
        <w:tc>
          <w:tcPr>
            <w:tcW w:type="dxa" w:w="1560"/>
            <w:vAlign w:val="center"/>
            <w:tcMar>
              <w:top w:w="80" w:type="dxa"/>
              <w:start w:w="120" w:type="dxa"/>
              <w:bottom w:w="80" w:type="dxa"/>
              <w:end w:w="120" w:type="dxa"/>
            </w:tcMar>
          </w:tcPr>
          <w:p>
            <w:pPr>
              <w:spacing w:after="0"/>
            </w:pPr>
            <w:r>
              <w:rPr>
                <w:rFonts w:ascii="Calibri" w:hAnsi="Calibri"/>
                <w:sz w:val="16"/>
              </w:rPr>
              <w:t>Medium</w:t>
            </w:r>
          </w:p>
        </w:tc>
        <w:tc>
          <w:tcPr>
            <w:tcW w:type="dxa" w:w="1560"/>
            <w:vAlign w:val="center"/>
            <w:tcMar>
              <w:top w:w="80" w:type="dxa"/>
              <w:start w:w="120" w:type="dxa"/>
              <w:bottom w:w="80" w:type="dxa"/>
              <w:end w:w="120" w:type="dxa"/>
            </w:tcMar>
          </w:tcPr>
          <w:p>
            <w:pPr>
              <w:spacing w:after="0"/>
            </w:pPr>
            <w:r>
              <w:rPr>
                <w:rFonts w:ascii="Calibri" w:hAnsi="Calibri"/>
                <w:sz w:val="16"/>
              </w:rPr>
              <w:t>[DOI TO BE VERIFIED] where needed</w:t>
            </w:r>
          </w:p>
        </w:tc>
      </w:tr>
    </w:tbl>
    <w:p>
      <w:pPr>
        <w:pStyle w:val="Heading1"/>
      </w:pPr>
      <w:r>
        <w:t>Reference final-check advice</w:t>
      </w:r>
    </w:p>
    <w:p>
      <w:pPr>
        <w:pStyle w:val="ListBullet"/>
      </w:pPr>
      <w:r>
        <w:t>The current 26-reference structure is reasonable for an SCI Q4 submission if formatted correctly and checked against journal requirements.</w:t>
      </w:r>
    </w:p>
    <w:p>
      <w:pPr>
        <w:pStyle w:val="ListBullet"/>
      </w:pPr>
      <w:r>
        <w:t>For an SCI Q3 target, add 5 to 10 references focused on chest radiograph external validation, clinical AI generalization, dataset shift, and calibration in medical imaging.</w:t>
      </w:r>
    </w:p>
    <w:p>
      <w:pPr>
        <w:pStyle w:val="ListBullet"/>
      </w:pPr>
      <w:r>
        <w:t>Reduce reliance on arXiv where peer-reviewed versions exist. CheXNet may remain as historical context, but radiologist-level language should not frame this study's claims.</w:t>
      </w:r>
    </w:p>
    <w:p>
      <w:pPr>
        <w:pStyle w:val="ListBullet"/>
      </w:pPr>
      <w:r>
        <w:t>Keep Grad-CAM++ as a separate citation from Grad-CAM.</w:t>
      </w:r>
    </w:p>
    <w:p>
      <w:pPr>
        <w:pStyle w:val="ListBullet"/>
      </w:pPr>
      <w:r>
        <w:t>Verify all DOI values, volume/issue/page numbers, and author order before submission. Do not invent DOI values; use [DOI TO BE VERIFIED] until checked.</w:t>
      </w:r>
    </w:p>
    <w:p>
      <w:pPr>
        <w:pStyle w:val="ListBullet"/>
      </w:pPr>
      <w:r>
        <w:t>Apply the target journal's Vancouver style or reference-manager export format before upload.</w:t>
      </w:r>
    </w:p>
    <w:p>
      <w:pPr>
        <w:pStyle w:val="ListBullet"/>
      </w:pPr>
      <w:r>
        <w:t>Convert conference-paper formatting to journal-required style only after target journal selection.</w:t>
      </w:r>
    </w:p>
    <w:p>
      <w:pPr>
        <w:pStyle w:val="Heading1"/>
      </w:pPr>
      <w:r>
        <w:t>Final submission checklist</w:t>
      </w:r>
    </w:p>
    <w:p>
      <w:pPr>
        <w:pStyle w:val="Heading2"/>
      </w:pPr>
      <w:r>
        <w:t>Checklist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2F4F7"/>
          </w:tcPr>
          <w:p>
            <w:pPr>
              <w:spacing w:after="0"/>
            </w:pPr>
            <w:r>
              <w:rPr>
                <w:rFonts w:ascii="Calibri" w:hAnsi="Calibri"/>
                <w:b/>
                <w:sz w:val="16"/>
              </w:rPr>
              <w:t>category</w:t>
            </w:r>
          </w:p>
        </w:tc>
        <w:tc>
          <w:tcPr>
            <w:tcW w:type="dxa" w:w="4680"/>
            <w:vAlign w:val="center"/>
            <w:tcMar>
              <w:top w:w="80" w:type="dxa"/>
              <w:start w:w="120" w:type="dxa"/>
              <w:bottom w:w="80" w:type="dxa"/>
              <w:end w:w="120" w:type="dxa"/>
            </w:tcMar>
            <w:shd w:fill="F2F4F7"/>
          </w:tcPr>
          <w:p>
            <w:pPr>
              <w:spacing w:after="0"/>
            </w:pPr>
            <w:r>
              <w:rPr>
                <w:rFonts w:ascii="Calibri" w:hAnsi="Calibri"/>
                <w:b/>
                <w:sz w:val="16"/>
              </w:rPr>
              <w:t>check_item</w:t>
            </w:r>
          </w:p>
        </w:tc>
      </w:tr>
      <w:tr>
        <w:tc>
          <w:tcPr>
            <w:tcW w:type="dxa" w:w="4680"/>
            <w:vAlign w:val="center"/>
            <w:tcMar>
              <w:top w:w="80" w:type="dxa"/>
              <w:start w:w="120" w:type="dxa"/>
              <w:bottom w:w="80" w:type="dxa"/>
              <w:end w:w="120" w:type="dxa"/>
            </w:tcMar>
          </w:tcPr>
          <w:p>
            <w:pPr>
              <w:spacing w:after="0"/>
            </w:pPr>
            <w:r>
              <w:rPr>
                <w:rFonts w:ascii="Calibri" w:hAnsi="Calibri"/>
                <w:sz w:val="16"/>
              </w:rPr>
              <w:t>A. Scientific claims</w:t>
            </w:r>
          </w:p>
        </w:tc>
        <w:tc>
          <w:tcPr>
            <w:tcW w:type="dxa" w:w="4680"/>
            <w:vAlign w:val="center"/>
            <w:tcMar>
              <w:top w:w="80" w:type="dxa"/>
              <w:start w:w="120" w:type="dxa"/>
              <w:bottom w:w="80" w:type="dxa"/>
              <w:end w:w="120" w:type="dxa"/>
            </w:tcMar>
          </w:tcPr>
          <w:p>
            <w:pPr>
              <w:spacing w:after="0"/>
            </w:pPr>
            <w:r>
              <w:rPr>
                <w:rFonts w:ascii="Calibri" w:hAnsi="Calibri"/>
                <w:sz w:val="16"/>
              </w:rPr>
              <w:t>No clinical-readiness claim.</w:t>
            </w:r>
          </w:p>
        </w:tc>
      </w:tr>
      <w:tr>
        <w:tc>
          <w:tcPr>
            <w:tcW w:type="dxa" w:w="4680"/>
            <w:vAlign w:val="center"/>
            <w:tcMar>
              <w:top w:w="80" w:type="dxa"/>
              <w:start w:w="120" w:type="dxa"/>
              <w:bottom w:w="80" w:type="dxa"/>
              <w:end w:w="120" w:type="dxa"/>
            </w:tcMar>
          </w:tcPr>
          <w:p>
            <w:pPr>
              <w:spacing w:after="0"/>
            </w:pPr>
            <w:r>
              <w:rPr>
                <w:rFonts w:ascii="Calibri" w:hAnsi="Calibri"/>
                <w:sz w:val="16"/>
              </w:rPr>
              <w:t>A. Scientific claims</w:t>
            </w:r>
          </w:p>
        </w:tc>
        <w:tc>
          <w:tcPr>
            <w:tcW w:type="dxa" w:w="4680"/>
            <w:vAlign w:val="center"/>
            <w:tcMar>
              <w:top w:w="80" w:type="dxa"/>
              <w:start w:w="120" w:type="dxa"/>
              <w:bottom w:w="80" w:type="dxa"/>
              <w:end w:w="120" w:type="dxa"/>
            </w:tcMar>
          </w:tcPr>
          <w:p>
            <w:pPr>
              <w:spacing w:after="0"/>
            </w:pPr>
            <w:r>
              <w:rPr>
                <w:rFonts w:ascii="Calibri" w:hAnsi="Calibri"/>
                <w:sz w:val="16"/>
              </w:rPr>
              <w:t>No full official-cohort claim.</w:t>
            </w:r>
          </w:p>
        </w:tc>
      </w:tr>
      <w:tr>
        <w:tc>
          <w:tcPr>
            <w:tcW w:type="dxa" w:w="4680"/>
            <w:vAlign w:val="center"/>
            <w:tcMar>
              <w:top w:w="80" w:type="dxa"/>
              <w:start w:w="120" w:type="dxa"/>
              <w:bottom w:w="80" w:type="dxa"/>
              <w:end w:w="120" w:type="dxa"/>
            </w:tcMar>
          </w:tcPr>
          <w:p>
            <w:pPr>
              <w:spacing w:after="0"/>
            </w:pPr>
            <w:r>
              <w:rPr>
                <w:rFonts w:ascii="Calibri" w:hAnsi="Calibri"/>
                <w:sz w:val="16"/>
              </w:rPr>
              <w:t>A. Scientific claims</w:t>
            </w:r>
          </w:p>
        </w:tc>
        <w:tc>
          <w:tcPr>
            <w:tcW w:type="dxa" w:w="4680"/>
            <w:vAlign w:val="center"/>
            <w:tcMar>
              <w:top w:w="80" w:type="dxa"/>
              <w:start w:w="120" w:type="dxa"/>
              <w:bottom w:w="80" w:type="dxa"/>
              <w:end w:w="120" w:type="dxa"/>
            </w:tcMar>
          </w:tcPr>
          <w:p>
            <w:pPr>
              <w:spacing w:after="0"/>
            </w:pPr>
            <w:r>
              <w:rPr>
                <w:rFonts w:ascii="Calibri" w:hAnsi="Calibri"/>
                <w:sz w:val="16"/>
              </w:rPr>
              <w:t>No radiologist-level claim.</w:t>
            </w:r>
          </w:p>
        </w:tc>
      </w:tr>
      <w:tr>
        <w:tc>
          <w:tcPr>
            <w:tcW w:type="dxa" w:w="4680"/>
            <w:vAlign w:val="center"/>
            <w:tcMar>
              <w:top w:w="80" w:type="dxa"/>
              <w:start w:w="120" w:type="dxa"/>
              <w:bottom w:w="80" w:type="dxa"/>
              <w:end w:w="120" w:type="dxa"/>
            </w:tcMar>
          </w:tcPr>
          <w:p>
            <w:pPr>
              <w:spacing w:after="0"/>
            </w:pPr>
            <w:r>
              <w:rPr>
                <w:rFonts w:ascii="Calibri" w:hAnsi="Calibri"/>
                <w:sz w:val="16"/>
              </w:rPr>
              <w:t>A. Scientific claims</w:t>
            </w:r>
          </w:p>
        </w:tc>
        <w:tc>
          <w:tcPr>
            <w:tcW w:type="dxa" w:w="4680"/>
            <w:vAlign w:val="center"/>
            <w:tcMar>
              <w:top w:w="80" w:type="dxa"/>
              <w:start w:w="120" w:type="dxa"/>
              <w:bottom w:w="80" w:type="dxa"/>
              <w:end w:w="120" w:type="dxa"/>
            </w:tcMar>
          </w:tcPr>
          <w:p>
            <w:pPr>
              <w:spacing w:after="0"/>
            </w:pPr>
            <w:r>
              <w:rPr>
                <w:rFonts w:ascii="Calibri" w:hAnsi="Calibri"/>
                <w:sz w:val="16"/>
              </w:rPr>
              <w:t>External AUPRC interpreted with prevalence.</w:t>
            </w:r>
          </w:p>
        </w:tc>
      </w:tr>
      <w:tr>
        <w:tc>
          <w:tcPr>
            <w:tcW w:type="dxa" w:w="4680"/>
            <w:vAlign w:val="center"/>
            <w:tcMar>
              <w:top w:w="80" w:type="dxa"/>
              <w:start w:w="120" w:type="dxa"/>
              <w:bottom w:w="80" w:type="dxa"/>
              <w:end w:w="120" w:type="dxa"/>
            </w:tcMar>
          </w:tcPr>
          <w:p>
            <w:pPr>
              <w:spacing w:after="0"/>
            </w:pPr>
            <w:r>
              <w:rPr>
                <w:rFonts w:ascii="Calibri" w:hAnsi="Calibri"/>
                <w:sz w:val="16"/>
              </w:rPr>
              <w:t>A. Scientific claims</w:t>
            </w:r>
          </w:p>
        </w:tc>
        <w:tc>
          <w:tcPr>
            <w:tcW w:type="dxa" w:w="4680"/>
            <w:vAlign w:val="center"/>
            <w:tcMar>
              <w:top w:w="80" w:type="dxa"/>
              <w:start w:w="120" w:type="dxa"/>
              <w:bottom w:w="80" w:type="dxa"/>
              <w:end w:w="120" w:type="dxa"/>
            </w:tcMar>
          </w:tcPr>
          <w:p>
            <w:pPr>
              <w:spacing w:after="0"/>
            </w:pPr>
            <w:r>
              <w:rPr>
                <w:rFonts w:ascii="Calibri" w:hAnsi="Calibri"/>
                <w:sz w:val="16"/>
              </w:rPr>
              <w:t>Comparator claims remain descriptive.</w:t>
            </w:r>
          </w:p>
        </w:tc>
      </w:tr>
      <w:tr>
        <w:tc>
          <w:tcPr>
            <w:tcW w:type="dxa" w:w="4680"/>
            <w:vAlign w:val="center"/>
            <w:tcMar>
              <w:top w:w="80" w:type="dxa"/>
              <w:start w:w="120" w:type="dxa"/>
              <w:bottom w:w="80" w:type="dxa"/>
              <w:end w:w="120" w:type="dxa"/>
            </w:tcMar>
          </w:tcPr>
          <w:p>
            <w:pPr>
              <w:spacing w:after="0"/>
            </w:pPr>
            <w:r>
              <w:rPr>
                <w:rFonts w:ascii="Calibri" w:hAnsi="Calibri"/>
                <w:sz w:val="16"/>
              </w:rPr>
              <w:t>B. Dataset reporting</w:t>
            </w:r>
          </w:p>
        </w:tc>
        <w:tc>
          <w:tcPr>
            <w:tcW w:type="dxa" w:w="4680"/>
            <w:vAlign w:val="center"/>
            <w:tcMar>
              <w:top w:w="80" w:type="dxa"/>
              <w:start w:w="120" w:type="dxa"/>
              <w:bottom w:w="80" w:type="dxa"/>
              <w:end w:w="120" w:type="dxa"/>
            </w:tcMar>
          </w:tcPr>
          <w:p>
            <w:pPr>
              <w:spacing w:after="0"/>
            </w:pPr>
            <w:r>
              <w:rPr>
                <w:rFonts w:ascii="Calibri" w:hAnsi="Calibri"/>
                <w:sz w:val="16"/>
              </w:rPr>
              <w:t>NIH subset size stated.</w:t>
            </w:r>
          </w:p>
        </w:tc>
      </w:tr>
      <w:tr>
        <w:tc>
          <w:tcPr>
            <w:tcW w:type="dxa" w:w="4680"/>
            <w:vAlign w:val="center"/>
            <w:tcMar>
              <w:top w:w="80" w:type="dxa"/>
              <w:start w:w="120" w:type="dxa"/>
              <w:bottom w:w="80" w:type="dxa"/>
              <w:end w:w="120" w:type="dxa"/>
            </w:tcMar>
          </w:tcPr>
          <w:p>
            <w:pPr>
              <w:spacing w:after="0"/>
            </w:pPr>
            <w:r>
              <w:rPr>
                <w:rFonts w:ascii="Calibri" w:hAnsi="Calibri"/>
                <w:sz w:val="16"/>
              </w:rPr>
              <w:t>B. Dataset reporting</w:t>
            </w:r>
          </w:p>
        </w:tc>
        <w:tc>
          <w:tcPr>
            <w:tcW w:type="dxa" w:w="4680"/>
            <w:vAlign w:val="center"/>
            <w:tcMar>
              <w:top w:w="80" w:type="dxa"/>
              <w:start w:w="120" w:type="dxa"/>
              <w:bottom w:w="80" w:type="dxa"/>
              <w:end w:w="120" w:type="dxa"/>
            </w:tcMar>
          </w:tcPr>
          <w:p>
            <w:pPr>
              <w:spacing w:after="0"/>
            </w:pPr>
            <w:r>
              <w:rPr>
                <w:rFonts w:ascii="Calibri" w:hAnsi="Calibri"/>
                <w:sz w:val="16"/>
              </w:rPr>
              <w:t>VinDr-derived subset size stated.</w:t>
            </w:r>
          </w:p>
        </w:tc>
      </w:tr>
      <w:tr>
        <w:tc>
          <w:tcPr>
            <w:tcW w:type="dxa" w:w="4680"/>
            <w:vAlign w:val="center"/>
            <w:tcMar>
              <w:top w:w="80" w:type="dxa"/>
              <w:start w:w="120" w:type="dxa"/>
              <w:bottom w:w="80" w:type="dxa"/>
              <w:end w:w="120" w:type="dxa"/>
            </w:tcMar>
          </w:tcPr>
          <w:p>
            <w:pPr>
              <w:spacing w:after="0"/>
            </w:pPr>
            <w:r>
              <w:rPr>
                <w:rFonts w:ascii="Calibri" w:hAnsi="Calibri"/>
                <w:sz w:val="16"/>
              </w:rPr>
              <w:t>B. Dataset reporting</w:t>
            </w:r>
          </w:p>
        </w:tc>
        <w:tc>
          <w:tcPr>
            <w:tcW w:type="dxa" w:w="4680"/>
            <w:vAlign w:val="center"/>
            <w:tcMar>
              <w:top w:w="80" w:type="dxa"/>
              <w:start w:w="120" w:type="dxa"/>
              <w:bottom w:w="80" w:type="dxa"/>
              <w:end w:w="120" w:type="dxa"/>
            </w:tcMar>
          </w:tcPr>
          <w:p>
            <w:pPr>
              <w:spacing w:after="0"/>
            </w:pPr>
            <w:r>
              <w:rPr>
                <w:rFonts w:ascii="Calibri" w:hAnsi="Calibri"/>
                <w:sz w:val="16"/>
              </w:rPr>
              <w:t>Selected public subset stated.</w:t>
            </w:r>
          </w:p>
        </w:tc>
      </w:tr>
      <w:tr>
        <w:tc>
          <w:tcPr>
            <w:tcW w:type="dxa" w:w="4680"/>
            <w:vAlign w:val="center"/>
            <w:tcMar>
              <w:top w:w="80" w:type="dxa"/>
              <w:start w:w="120" w:type="dxa"/>
              <w:bottom w:w="80" w:type="dxa"/>
              <w:end w:w="120" w:type="dxa"/>
            </w:tcMar>
          </w:tcPr>
          <w:p>
            <w:pPr>
              <w:spacing w:after="0"/>
            </w:pPr>
            <w:r>
              <w:rPr>
                <w:rFonts w:ascii="Calibri" w:hAnsi="Calibri"/>
                <w:sz w:val="16"/>
              </w:rPr>
              <w:t>B. Dataset reporting</w:t>
            </w:r>
          </w:p>
        </w:tc>
        <w:tc>
          <w:tcPr>
            <w:tcW w:type="dxa" w:w="4680"/>
            <w:vAlign w:val="center"/>
            <w:tcMar>
              <w:top w:w="80" w:type="dxa"/>
              <w:start w:w="120" w:type="dxa"/>
              <w:bottom w:w="80" w:type="dxa"/>
              <w:end w:w="120" w:type="dxa"/>
            </w:tcMar>
          </w:tcPr>
          <w:p>
            <w:pPr>
              <w:spacing w:after="0"/>
            </w:pPr>
            <w:r>
              <w:rPr>
                <w:rFonts w:ascii="Calibri" w:hAnsi="Calibri"/>
                <w:sz w:val="16"/>
              </w:rPr>
              <w:t>External identifiers described cautiously.</w:t>
            </w:r>
          </w:p>
        </w:tc>
      </w:tr>
      <w:tr>
        <w:tc>
          <w:tcPr>
            <w:tcW w:type="dxa" w:w="4680"/>
            <w:vAlign w:val="center"/>
            <w:tcMar>
              <w:top w:w="80" w:type="dxa"/>
              <w:start w:w="120" w:type="dxa"/>
              <w:bottom w:w="80" w:type="dxa"/>
              <w:end w:w="120" w:type="dxa"/>
            </w:tcMar>
          </w:tcPr>
          <w:p>
            <w:pPr>
              <w:spacing w:after="0"/>
            </w:pPr>
            <w:r>
              <w:rPr>
                <w:rFonts w:ascii="Calibri" w:hAnsi="Calibri"/>
                <w:sz w:val="16"/>
              </w:rPr>
              <w:t>B. Dataset reporting</w:t>
            </w:r>
          </w:p>
        </w:tc>
        <w:tc>
          <w:tcPr>
            <w:tcW w:type="dxa" w:w="4680"/>
            <w:vAlign w:val="center"/>
            <w:tcMar>
              <w:top w:w="80" w:type="dxa"/>
              <w:start w:w="120" w:type="dxa"/>
              <w:bottom w:w="80" w:type="dxa"/>
              <w:end w:w="120" w:type="dxa"/>
            </w:tcMar>
          </w:tcPr>
          <w:p>
            <w:pPr>
              <w:spacing w:after="0"/>
            </w:pPr>
            <w:r>
              <w:rPr>
                <w:rFonts w:ascii="Calibri" w:hAnsi="Calibri"/>
                <w:sz w:val="16"/>
              </w:rPr>
              <w:t>Dataset licenses acknowledged.</w:t>
            </w:r>
          </w:p>
        </w:tc>
      </w:tr>
      <w:tr>
        <w:tc>
          <w:tcPr>
            <w:tcW w:type="dxa" w:w="4680"/>
            <w:vAlign w:val="center"/>
            <w:tcMar>
              <w:top w:w="80" w:type="dxa"/>
              <w:start w:w="120" w:type="dxa"/>
              <w:bottom w:w="80" w:type="dxa"/>
              <w:end w:w="120" w:type="dxa"/>
            </w:tcMar>
          </w:tcPr>
          <w:p>
            <w:pPr>
              <w:spacing w:after="0"/>
            </w:pPr>
            <w:r>
              <w:rPr>
                <w:rFonts w:ascii="Calibri" w:hAnsi="Calibri"/>
                <w:sz w:val="16"/>
              </w:rPr>
              <w:t>C.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Threshold selection from NIH validation only.</w:t>
            </w:r>
          </w:p>
        </w:tc>
      </w:tr>
      <w:tr>
        <w:tc>
          <w:tcPr>
            <w:tcW w:type="dxa" w:w="4680"/>
            <w:vAlign w:val="center"/>
            <w:tcMar>
              <w:top w:w="80" w:type="dxa"/>
              <w:start w:w="120" w:type="dxa"/>
              <w:bottom w:w="80" w:type="dxa"/>
              <w:end w:w="120" w:type="dxa"/>
            </w:tcMar>
          </w:tcPr>
          <w:p>
            <w:pPr>
              <w:spacing w:after="0"/>
            </w:pPr>
            <w:r>
              <w:rPr>
                <w:rFonts w:ascii="Calibri" w:hAnsi="Calibri"/>
                <w:sz w:val="16"/>
              </w:rPr>
              <w:t>C.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NIH bootstrap patient-level.</w:t>
            </w:r>
          </w:p>
        </w:tc>
      </w:tr>
      <w:tr>
        <w:tc>
          <w:tcPr>
            <w:tcW w:type="dxa" w:w="4680"/>
            <w:vAlign w:val="center"/>
            <w:tcMar>
              <w:top w:w="80" w:type="dxa"/>
              <w:start w:w="120" w:type="dxa"/>
              <w:bottom w:w="80" w:type="dxa"/>
              <w:end w:w="120" w:type="dxa"/>
            </w:tcMar>
          </w:tcPr>
          <w:p>
            <w:pPr>
              <w:spacing w:after="0"/>
            </w:pPr>
            <w:r>
              <w:rPr>
                <w:rFonts w:ascii="Calibri" w:hAnsi="Calibri"/>
                <w:sz w:val="16"/>
              </w:rPr>
              <w:t>C.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External bootstrap image-identifier-level approximation.</w:t>
            </w:r>
          </w:p>
        </w:tc>
      </w:tr>
      <w:tr>
        <w:tc>
          <w:tcPr>
            <w:tcW w:type="dxa" w:w="4680"/>
            <w:vAlign w:val="center"/>
            <w:tcMar>
              <w:top w:w="80" w:type="dxa"/>
              <w:start w:w="120" w:type="dxa"/>
              <w:bottom w:w="80" w:type="dxa"/>
              <w:end w:w="120" w:type="dxa"/>
            </w:tcMar>
          </w:tcPr>
          <w:p>
            <w:pPr>
              <w:spacing w:after="0"/>
            </w:pPr>
            <w:r>
              <w:rPr>
                <w:rFonts w:ascii="Calibri" w:hAnsi="Calibri"/>
                <w:sz w:val="16"/>
              </w:rPr>
              <w:t>C.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Macro rules stated.</w:t>
            </w:r>
          </w:p>
        </w:tc>
      </w:tr>
      <w:tr>
        <w:tc>
          <w:tcPr>
            <w:tcW w:type="dxa" w:w="4680"/>
            <w:vAlign w:val="center"/>
            <w:tcMar>
              <w:top w:w="80" w:type="dxa"/>
              <w:start w:w="120" w:type="dxa"/>
              <w:bottom w:w="80" w:type="dxa"/>
              <w:end w:w="120" w:type="dxa"/>
            </w:tcMar>
          </w:tcPr>
          <w:p>
            <w:pPr>
              <w:spacing w:after="0"/>
            </w:pPr>
            <w:r>
              <w:rPr>
                <w:rFonts w:ascii="Calibri" w:hAnsi="Calibri"/>
                <w:sz w:val="16"/>
              </w:rPr>
              <w:t>C. Statistical reporting</w:t>
            </w:r>
          </w:p>
        </w:tc>
        <w:tc>
          <w:tcPr>
            <w:tcW w:type="dxa" w:w="4680"/>
            <w:vAlign w:val="center"/>
            <w:tcMar>
              <w:top w:w="80" w:type="dxa"/>
              <w:start w:w="120" w:type="dxa"/>
              <w:bottom w:w="80" w:type="dxa"/>
              <w:end w:w="120" w:type="dxa"/>
            </w:tcMar>
          </w:tcPr>
          <w:p>
            <w:pPr>
              <w:spacing w:after="0"/>
            </w:pPr>
            <w:r>
              <w:rPr>
                <w:rFonts w:ascii="Calibri" w:hAnsi="Calibri"/>
                <w:sz w:val="16"/>
              </w:rPr>
              <w:t>Paired bootstrap described as descriptive.</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NIH-only calibration fitting stated.</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No external calibration fitting stated.</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Brier/ECE/MCE/slope/intercept reported.</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Temperature scaling not overstated.</w:t>
            </w:r>
          </w:p>
        </w:tc>
      </w:tr>
      <w:tr>
        <w:tc>
          <w:tcPr>
            <w:tcW w:type="dxa" w:w="4680"/>
            <w:vAlign w:val="center"/>
            <w:tcMar>
              <w:top w:w="80" w:type="dxa"/>
              <w:start w:w="120" w:type="dxa"/>
              <w:bottom w:w="80" w:type="dxa"/>
              <w:end w:w="120" w:type="dxa"/>
            </w:tcMar>
          </w:tcPr>
          <w:p>
            <w:pPr>
              <w:spacing w:after="0"/>
            </w:pPr>
            <w:r>
              <w:rPr>
                <w:rFonts w:ascii="Calibri" w:hAnsi="Calibri"/>
                <w:sz w:val="16"/>
              </w:rPr>
              <w:t>D. Calibration reporting</w:t>
            </w:r>
          </w:p>
        </w:tc>
        <w:tc>
          <w:tcPr>
            <w:tcW w:type="dxa" w:w="4680"/>
            <w:vAlign w:val="center"/>
            <w:tcMar>
              <w:top w:w="80" w:type="dxa"/>
              <w:start w:w="120" w:type="dxa"/>
              <w:bottom w:w="80" w:type="dxa"/>
              <w:end w:w="120" w:type="dxa"/>
            </w:tcMar>
          </w:tcPr>
          <w:p>
            <w:pPr>
              <w:spacing w:after="0"/>
            </w:pPr>
            <w:r>
              <w:rPr>
                <w:rFonts w:ascii="Calibri" w:hAnsi="Calibri"/>
                <w:sz w:val="16"/>
              </w:rPr>
              <w:t>Platt/isotonic interpreted cautiously.</w:t>
            </w:r>
          </w:p>
        </w:tc>
      </w:tr>
      <w:tr>
        <w:tc>
          <w:tcPr>
            <w:tcW w:type="dxa" w:w="4680"/>
            <w:vAlign w:val="center"/>
            <w:tcMar>
              <w:top w:w="80" w:type="dxa"/>
              <w:start w:w="120" w:type="dxa"/>
              <w:bottom w:w="80" w:type="dxa"/>
              <w:end w:w="120" w:type="dxa"/>
            </w:tcMar>
          </w:tcPr>
          <w:p>
            <w:pPr>
              <w:spacing w:after="0"/>
            </w:pPr>
            <w:r>
              <w:rPr>
                <w:rFonts w:ascii="Calibri" w:hAnsi="Calibri"/>
                <w:sz w:val="16"/>
              </w:rPr>
              <w:t>E. Explainability reporting</w:t>
            </w:r>
          </w:p>
        </w:tc>
        <w:tc>
          <w:tcPr>
            <w:tcW w:type="dxa" w:w="4680"/>
            <w:vAlign w:val="center"/>
            <w:tcMar>
              <w:top w:w="80" w:type="dxa"/>
              <w:start w:w="120" w:type="dxa"/>
              <w:bottom w:w="80" w:type="dxa"/>
              <w:end w:w="120" w:type="dxa"/>
            </w:tcMar>
          </w:tcPr>
          <w:p>
            <w:pPr>
              <w:spacing w:after="0"/>
            </w:pPr>
            <w:r>
              <w:rPr>
                <w:rFonts w:ascii="Calibri" w:hAnsi="Calibri"/>
                <w:sz w:val="16"/>
              </w:rPr>
              <w:t>Grad-CAM++ qualitative only.</w:t>
            </w:r>
          </w:p>
        </w:tc>
      </w:tr>
      <w:tr>
        <w:tc>
          <w:tcPr>
            <w:tcW w:type="dxa" w:w="4680"/>
            <w:vAlign w:val="center"/>
            <w:tcMar>
              <w:top w:w="80" w:type="dxa"/>
              <w:start w:w="120" w:type="dxa"/>
              <w:bottom w:w="80" w:type="dxa"/>
              <w:end w:w="120" w:type="dxa"/>
            </w:tcMar>
          </w:tcPr>
          <w:p>
            <w:pPr>
              <w:spacing w:after="0"/>
            </w:pPr>
            <w:r>
              <w:rPr>
                <w:rFonts w:ascii="Calibri" w:hAnsi="Calibri"/>
                <w:sz w:val="16"/>
              </w:rPr>
              <w:t>E. Explainability reporting</w:t>
            </w:r>
          </w:p>
        </w:tc>
        <w:tc>
          <w:tcPr>
            <w:tcW w:type="dxa" w:w="4680"/>
            <w:vAlign w:val="center"/>
            <w:tcMar>
              <w:top w:w="80" w:type="dxa"/>
              <w:start w:w="120" w:type="dxa"/>
              <w:bottom w:w="80" w:type="dxa"/>
              <w:end w:w="120" w:type="dxa"/>
            </w:tcMar>
          </w:tcPr>
          <w:p>
            <w:pPr>
              <w:spacing w:after="0"/>
            </w:pPr>
            <w:r>
              <w:rPr>
                <w:rFonts w:ascii="Calibri" w:hAnsi="Calibri"/>
                <w:sz w:val="16"/>
              </w:rPr>
              <w:t>No localization-ground-truth claim.</w:t>
            </w:r>
          </w:p>
        </w:tc>
      </w:tr>
      <w:tr>
        <w:tc>
          <w:tcPr>
            <w:tcW w:type="dxa" w:w="4680"/>
            <w:vAlign w:val="center"/>
            <w:tcMar>
              <w:top w:w="80" w:type="dxa"/>
              <w:start w:w="120" w:type="dxa"/>
              <w:bottom w:w="80" w:type="dxa"/>
              <w:end w:w="120" w:type="dxa"/>
            </w:tcMar>
          </w:tcPr>
          <w:p>
            <w:pPr>
              <w:spacing w:after="0"/>
            </w:pPr>
            <w:r>
              <w:rPr>
                <w:rFonts w:ascii="Calibri" w:hAnsi="Calibri"/>
                <w:sz w:val="16"/>
              </w:rPr>
              <w:t>E. Explainability reporting</w:t>
            </w:r>
          </w:p>
        </w:tc>
        <w:tc>
          <w:tcPr>
            <w:tcW w:type="dxa" w:w="4680"/>
            <w:vAlign w:val="center"/>
            <w:tcMar>
              <w:top w:w="80" w:type="dxa"/>
              <w:start w:w="120" w:type="dxa"/>
              <w:bottom w:w="80" w:type="dxa"/>
              <w:end w:w="120" w:type="dxa"/>
            </w:tcMar>
          </w:tcPr>
          <w:p>
            <w:pPr>
              <w:spacing w:after="0"/>
            </w:pPr>
            <w:r>
              <w:rPr>
                <w:rFonts w:ascii="Calibri" w:hAnsi="Calibri"/>
                <w:sz w:val="16"/>
              </w:rPr>
              <w:t>No reasoning-proof claim.</w:t>
            </w:r>
          </w:p>
        </w:tc>
      </w:tr>
      <w:tr>
        <w:tc>
          <w:tcPr>
            <w:tcW w:type="dxa" w:w="4680"/>
            <w:vAlign w:val="center"/>
            <w:tcMar>
              <w:top w:w="80" w:type="dxa"/>
              <w:start w:w="120" w:type="dxa"/>
              <w:bottom w:w="80" w:type="dxa"/>
              <w:end w:w="120" w:type="dxa"/>
            </w:tcMar>
          </w:tcPr>
          <w:p>
            <w:pPr>
              <w:spacing w:after="0"/>
            </w:pPr>
            <w:r>
              <w:rPr>
                <w:rFonts w:ascii="Calibri" w:hAnsi="Calibri"/>
                <w:sz w:val="16"/>
              </w:rPr>
              <w:t>E. Explainability reporting</w:t>
            </w:r>
          </w:p>
        </w:tc>
        <w:tc>
          <w:tcPr>
            <w:tcW w:type="dxa" w:w="4680"/>
            <w:vAlign w:val="center"/>
            <w:tcMar>
              <w:top w:w="80" w:type="dxa"/>
              <w:start w:w="120" w:type="dxa"/>
              <w:bottom w:w="80" w:type="dxa"/>
              <w:end w:w="120" w:type="dxa"/>
            </w:tcMar>
          </w:tcPr>
          <w:p>
            <w:pPr>
              <w:spacing w:after="0"/>
            </w:pPr>
            <w:r>
              <w:rPr>
                <w:rFonts w:ascii="Calibri" w:hAnsi="Calibri"/>
                <w:sz w:val="16"/>
              </w:rPr>
              <w:t>TP/FP/FN/TN categories labeled.</w:t>
            </w:r>
          </w:p>
        </w:tc>
      </w:tr>
      <w:tr>
        <w:tc>
          <w:tcPr>
            <w:tcW w:type="dxa" w:w="4680"/>
            <w:vAlign w:val="center"/>
            <w:tcMar>
              <w:top w:w="80" w:type="dxa"/>
              <w:start w:w="120" w:type="dxa"/>
              <w:bottom w:w="80" w:type="dxa"/>
              <w:end w:w="120" w:type="dxa"/>
            </w:tcMar>
          </w:tcPr>
          <w:p>
            <w:pPr>
              <w:spacing w:after="0"/>
            </w:pPr>
            <w:r>
              <w:rPr>
                <w:rFonts w:ascii="Calibri" w:hAnsi="Calibri"/>
                <w:sz w:val="16"/>
              </w:rPr>
              <w:t>E. Explainability reporting</w:t>
            </w:r>
          </w:p>
        </w:tc>
        <w:tc>
          <w:tcPr>
            <w:tcW w:type="dxa" w:w="4680"/>
            <w:vAlign w:val="center"/>
            <w:tcMar>
              <w:top w:w="80" w:type="dxa"/>
              <w:start w:w="120" w:type="dxa"/>
              <w:bottom w:w="80" w:type="dxa"/>
              <w:end w:w="120" w:type="dxa"/>
            </w:tcMar>
          </w:tcPr>
          <w:p>
            <w:pPr>
              <w:spacing w:after="0"/>
            </w:pPr>
            <w:r>
              <w:rPr>
                <w:rFonts w:ascii="Calibri" w:hAnsi="Calibri"/>
                <w:sz w:val="16"/>
              </w:rPr>
              <w:t>Additional panels placed in supplement if needed.</w:t>
            </w:r>
          </w:p>
        </w:tc>
      </w:tr>
      <w:tr>
        <w:tc>
          <w:tcPr>
            <w:tcW w:type="dxa" w:w="4680"/>
            <w:vAlign w:val="center"/>
            <w:tcMar>
              <w:top w:w="80" w:type="dxa"/>
              <w:start w:w="120" w:type="dxa"/>
              <w:bottom w:w="80" w:type="dxa"/>
              <w:end w:w="120" w:type="dxa"/>
            </w:tcMar>
          </w:tcPr>
          <w:p>
            <w:pPr>
              <w:spacing w:after="0"/>
            </w:pPr>
            <w:r>
              <w:rPr>
                <w:rFonts w:ascii="Calibri" w:hAnsi="Calibri"/>
                <w:sz w:val="16"/>
              </w:rPr>
              <w:t>F. Tables</w:t>
            </w:r>
          </w:p>
        </w:tc>
        <w:tc>
          <w:tcPr>
            <w:tcW w:type="dxa" w:w="4680"/>
            <w:vAlign w:val="center"/>
            <w:tcMar>
              <w:top w:w="80" w:type="dxa"/>
              <w:start w:w="120" w:type="dxa"/>
              <w:bottom w:w="80" w:type="dxa"/>
              <w:end w:w="120" w:type="dxa"/>
            </w:tcMar>
          </w:tcPr>
          <w:p>
            <w:pPr>
              <w:spacing w:after="0"/>
            </w:pPr>
            <w:r>
              <w:rPr>
                <w:rFonts w:ascii="Calibri" w:hAnsi="Calibri"/>
                <w:sz w:val="16"/>
              </w:rPr>
              <w:t>Use compact final15 main tables.</w:t>
            </w:r>
          </w:p>
        </w:tc>
      </w:tr>
      <w:tr>
        <w:tc>
          <w:tcPr>
            <w:tcW w:type="dxa" w:w="4680"/>
            <w:vAlign w:val="center"/>
            <w:tcMar>
              <w:top w:w="80" w:type="dxa"/>
              <w:start w:w="120" w:type="dxa"/>
              <w:bottom w:w="80" w:type="dxa"/>
              <w:end w:w="120" w:type="dxa"/>
            </w:tcMar>
          </w:tcPr>
          <w:p>
            <w:pPr>
              <w:spacing w:after="0"/>
            </w:pPr>
            <w:r>
              <w:rPr>
                <w:rFonts w:ascii="Calibri" w:hAnsi="Calibri"/>
                <w:sz w:val="16"/>
              </w:rPr>
              <w:t>F. Tables</w:t>
            </w:r>
          </w:p>
        </w:tc>
        <w:tc>
          <w:tcPr>
            <w:tcW w:type="dxa" w:w="4680"/>
            <w:vAlign w:val="center"/>
            <w:tcMar>
              <w:top w:w="80" w:type="dxa"/>
              <w:start w:w="120" w:type="dxa"/>
              <w:bottom w:w="80" w:type="dxa"/>
              <w:end w:w="120" w:type="dxa"/>
            </w:tcMar>
          </w:tcPr>
          <w:p>
            <w:pPr>
              <w:spacing w:after="0"/>
            </w:pPr>
            <w:r>
              <w:rPr>
                <w:rFonts w:ascii="Calibri" w:hAnsi="Calibri"/>
                <w:sz w:val="16"/>
              </w:rPr>
              <w:t>Move subgroup table to supplement if space constrained.</w:t>
            </w:r>
          </w:p>
        </w:tc>
      </w:tr>
      <w:tr>
        <w:tc>
          <w:tcPr>
            <w:tcW w:type="dxa" w:w="4680"/>
            <w:vAlign w:val="center"/>
            <w:tcMar>
              <w:top w:w="80" w:type="dxa"/>
              <w:start w:w="120" w:type="dxa"/>
              <w:bottom w:w="80" w:type="dxa"/>
              <w:end w:w="120" w:type="dxa"/>
            </w:tcMar>
          </w:tcPr>
          <w:p>
            <w:pPr>
              <w:spacing w:after="0"/>
            </w:pPr>
            <w:r>
              <w:rPr>
                <w:rFonts w:ascii="Calibri" w:hAnsi="Calibri"/>
                <w:sz w:val="16"/>
              </w:rPr>
              <w:t>F. Tables</w:t>
            </w:r>
          </w:p>
        </w:tc>
        <w:tc>
          <w:tcPr>
            <w:tcW w:type="dxa" w:w="4680"/>
            <w:vAlign w:val="center"/>
            <w:tcMar>
              <w:top w:w="80" w:type="dxa"/>
              <w:start w:w="120" w:type="dxa"/>
              <w:bottom w:w="80" w:type="dxa"/>
              <w:end w:w="120" w:type="dxa"/>
            </w:tcMar>
          </w:tcPr>
          <w:p>
            <w:pPr>
              <w:spacing w:after="0"/>
            </w:pPr>
            <w:r>
              <w:rPr>
                <w:rFonts w:ascii="Calibri" w:hAnsi="Calibri"/>
                <w:sz w:val="16"/>
              </w:rPr>
              <w:t>Use short column labels.</w:t>
            </w:r>
          </w:p>
        </w:tc>
      </w:tr>
      <w:tr>
        <w:tc>
          <w:tcPr>
            <w:tcW w:type="dxa" w:w="4680"/>
            <w:vAlign w:val="center"/>
            <w:tcMar>
              <w:top w:w="80" w:type="dxa"/>
              <w:start w:w="120" w:type="dxa"/>
              <w:bottom w:w="80" w:type="dxa"/>
              <w:end w:w="120" w:type="dxa"/>
            </w:tcMar>
          </w:tcPr>
          <w:p>
            <w:pPr>
              <w:spacing w:after="0"/>
            </w:pPr>
            <w:r>
              <w:rPr>
                <w:rFonts w:ascii="Calibri" w:hAnsi="Calibri"/>
                <w:sz w:val="16"/>
              </w:rPr>
              <w:t>F. Tables</w:t>
            </w:r>
          </w:p>
        </w:tc>
        <w:tc>
          <w:tcPr>
            <w:tcW w:type="dxa" w:w="4680"/>
            <w:vAlign w:val="center"/>
            <w:tcMar>
              <w:top w:w="80" w:type="dxa"/>
              <w:start w:w="120" w:type="dxa"/>
              <w:bottom w:w="80" w:type="dxa"/>
              <w:end w:w="120" w:type="dxa"/>
            </w:tcMar>
          </w:tcPr>
          <w:p>
            <w:pPr>
              <w:spacing w:after="0"/>
            </w:pPr>
            <w:r>
              <w:rPr>
                <w:rFonts w:ascii="Calibri" w:hAnsi="Calibri"/>
                <w:sz w:val="16"/>
              </w:rPr>
              <w:t>Add footnotes for split usage and NA labels.</w:t>
            </w:r>
          </w:p>
        </w:tc>
      </w:tr>
      <w:tr>
        <w:tc>
          <w:tcPr>
            <w:tcW w:type="dxa" w:w="4680"/>
            <w:vAlign w:val="center"/>
            <w:tcMar>
              <w:top w:w="80" w:type="dxa"/>
              <w:start w:w="120" w:type="dxa"/>
              <w:bottom w:w="80" w:type="dxa"/>
              <w:end w:w="120" w:type="dxa"/>
            </w:tcMar>
          </w:tcPr>
          <w:p>
            <w:pPr>
              <w:spacing w:after="0"/>
            </w:pPr>
            <w:r>
              <w:rPr>
                <w:rFonts w:ascii="Calibri" w:hAnsi="Calibri"/>
                <w:sz w:val="16"/>
              </w:rPr>
              <w:t>F. Tables</w:t>
            </w:r>
          </w:p>
        </w:tc>
        <w:tc>
          <w:tcPr>
            <w:tcW w:type="dxa" w:w="4680"/>
            <w:vAlign w:val="center"/>
            <w:tcMar>
              <w:top w:w="80" w:type="dxa"/>
              <w:start w:w="120" w:type="dxa"/>
              <w:bottom w:w="80" w:type="dxa"/>
              <w:end w:w="120" w:type="dxa"/>
            </w:tcMar>
          </w:tcPr>
          <w:p>
            <w:pPr>
              <w:spacing w:after="0"/>
            </w:pPr>
            <w:r>
              <w:rPr>
                <w:rFonts w:ascii="Calibri" w:hAnsi="Calibri"/>
                <w:sz w:val="16"/>
              </w:rPr>
              <w:t>Avoid replacing NA with zero.</w:t>
            </w:r>
          </w:p>
        </w:tc>
      </w:tr>
      <w:tr>
        <w:tc>
          <w:tcPr>
            <w:tcW w:type="dxa" w:w="4680"/>
            <w:vAlign w:val="center"/>
            <w:tcMar>
              <w:top w:w="80" w:type="dxa"/>
              <w:start w:w="120" w:type="dxa"/>
              <w:bottom w:w="80" w:type="dxa"/>
              <w:end w:w="120" w:type="dxa"/>
            </w:tcMar>
          </w:tcPr>
          <w:p>
            <w:pPr>
              <w:spacing w:after="0"/>
            </w:pPr>
            <w:r>
              <w:rPr>
                <w:rFonts w:ascii="Calibri" w:hAnsi="Calibri"/>
                <w:sz w:val="16"/>
              </w:rPr>
              <w:t>G. Figures</w:t>
            </w:r>
          </w:p>
        </w:tc>
        <w:tc>
          <w:tcPr>
            <w:tcW w:type="dxa" w:w="4680"/>
            <w:vAlign w:val="center"/>
            <w:tcMar>
              <w:top w:w="80" w:type="dxa"/>
              <w:start w:w="120" w:type="dxa"/>
              <w:bottom w:w="80" w:type="dxa"/>
              <w:end w:w="120" w:type="dxa"/>
            </w:tcMar>
          </w:tcPr>
          <w:p>
            <w:pPr>
              <w:spacing w:after="0"/>
            </w:pPr>
            <w:r>
              <w:rPr>
                <w:rFonts w:ascii="Calibri" w:hAnsi="Calibri"/>
                <w:sz w:val="16"/>
              </w:rPr>
              <w:t>Export 300 dpi TIFF if required.</w:t>
            </w:r>
          </w:p>
        </w:tc>
      </w:tr>
      <w:tr>
        <w:tc>
          <w:tcPr>
            <w:tcW w:type="dxa" w:w="4680"/>
            <w:vAlign w:val="center"/>
            <w:tcMar>
              <w:top w:w="80" w:type="dxa"/>
              <w:start w:w="120" w:type="dxa"/>
              <w:bottom w:w="80" w:type="dxa"/>
              <w:end w:w="120" w:type="dxa"/>
            </w:tcMar>
          </w:tcPr>
          <w:p>
            <w:pPr>
              <w:spacing w:after="0"/>
            </w:pPr>
            <w:r>
              <w:rPr>
                <w:rFonts w:ascii="Calibri" w:hAnsi="Calibri"/>
                <w:sz w:val="16"/>
              </w:rPr>
              <w:t>G. Figures</w:t>
            </w:r>
          </w:p>
        </w:tc>
        <w:tc>
          <w:tcPr>
            <w:tcW w:type="dxa" w:w="4680"/>
            <w:vAlign w:val="center"/>
            <w:tcMar>
              <w:top w:w="80" w:type="dxa"/>
              <w:start w:w="120" w:type="dxa"/>
              <w:bottom w:w="80" w:type="dxa"/>
              <w:end w:w="120" w:type="dxa"/>
            </w:tcMar>
          </w:tcPr>
          <w:p>
            <w:pPr>
              <w:spacing w:after="0"/>
            </w:pPr>
            <w:r>
              <w:rPr>
                <w:rFonts w:ascii="Calibri" w:hAnsi="Calibri"/>
                <w:sz w:val="16"/>
              </w:rPr>
              <w:t>Check figure fonts and legends.</w:t>
            </w:r>
          </w:p>
        </w:tc>
      </w:tr>
      <w:tr>
        <w:tc>
          <w:tcPr>
            <w:tcW w:type="dxa" w:w="4680"/>
            <w:vAlign w:val="center"/>
            <w:tcMar>
              <w:top w:w="80" w:type="dxa"/>
              <w:start w:w="120" w:type="dxa"/>
              <w:bottom w:w="80" w:type="dxa"/>
              <w:end w:w="120" w:type="dxa"/>
            </w:tcMar>
          </w:tcPr>
          <w:p>
            <w:pPr>
              <w:spacing w:after="0"/>
            </w:pPr>
            <w:r>
              <w:rPr>
                <w:rFonts w:ascii="Calibri" w:hAnsi="Calibri"/>
                <w:sz w:val="16"/>
              </w:rPr>
              <w:t>G. Figures</w:t>
            </w:r>
          </w:p>
        </w:tc>
        <w:tc>
          <w:tcPr>
            <w:tcW w:type="dxa" w:w="4680"/>
            <w:vAlign w:val="center"/>
            <w:tcMar>
              <w:top w:w="80" w:type="dxa"/>
              <w:start w:w="120" w:type="dxa"/>
              <w:bottom w:w="80" w:type="dxa"/>
              <w:end w:w="120" w:type="dxa"/>
            </w:tcMar>
          </w:tcPr>
          <w:p>
            <w:pPr>
              <w:spacing w:after="0"/>
            </w:pPr>
            <w:r>
              <w:rPr>
                <w:rFonts w:ascii="Calibri" w:hAnsi="Calibri"/>
                <w:sz w:val="16"/>
              </w:rPr>
              <w:t>Figure 2 marks Edema/Pneumonia NA.</w:t>
            </w:r>
          </w:p>
        </w:tc>
      </w:tr>
      <w:tr>
        <w:tc>
          <w:tcPr>
            <w:tcW w:type="dxa" w:w="4680"/>
            <w:vAlign w:val="center"/>
            <w:tcMar>
              <w:top w:w="80" w:type="dxa"/>
              <w:start w:w="120" w:type="dxa"/>
              <w:bottom w:w="80" w:type="dxa"/>
              <w:end w:w="120" w:type="dxa"/>
            </w:tcMar>
          </w:tcPr>
          <w:p>
            <w:pPr>
              <w:spacing w:after="0"/>
            </w:pPr>
            <w:r>
              <w:rPr>
                <w:rFonts w:ascii="Calibri" w:hAnsi="Calibri"/>
                <w:sz w:val="16"/>
              </w:rPr>
              <w:t>G. Figures</w:t>
            </w:r>
          </w:p>
        </w:tc>
        <w:tc>
          <w:tcPr>
            <w:tcW w:type="dxa" w:w="4680"/>
            <w:vAlign w:val="center"/>
            <w:tcMar>
              <w:top w:w="80" w:type="dxa"/>
              <w:start w:w="120" w:type="dxa"/>
              <w:bottom w:w="80" w:type="dxa"/>
              <w:end w:w="120" w:type="dxa"/>
            </w:tcMar>
          </w:tcPr>
          <w:p>
            <w:pPr>
              <w:spacing w:after="0"/>
            </w:pPr>
            <w:r>
              <w:rPr>
                <w:rFonts w:ascii="Calibri" w:hAnsi="Calibri"/>
                <w:sz w:val="16"/>
              </w:rPr>
              <w:t>Figure 4 states NIH-only calibration fitting.</w:t>
            </w:r>
          </w:p>
        </w:tc>
      </w:tr>
      <w:tr>
        <w:tc>
          <w:tcPr>
            <w:tcW w:type="dxa" w:w="4680"/>
            <w:vAlign w:val="center"/>
            <w:tcMar>
              <w:top w:w="80" w:type="dxa"/>
              <w:start w:w="120" w:type="dxa"/>
              <w:bottom w:w="80" w:type="dxa"/>
              <w:end w:w="120" w:type="dxa"/>
            </w:tcMar>
          </w:tcPr>
          <w:p>
            <w:pPr>
              <w:spacing w:after="0"/>
            </w:pPr>
            <w:r>
              <w:rPr>
                <w:rFonts w:ascii="Calibri" w:hAnsi="Calibri"/>
                <w:sz w:val="16"/>
              </w:rPr>
              <w:t>G. Figures</w:t>
            </w:r>
          </w:p>
        </w:tc>
        <w:tc>
          <w:tcPr>
            <w:tcW w:type="dxa" w:w="4680"/>
            <w:vAlign w:val="center"/>
            <w:tcMar>
              <w:top w:w="80" w:type="dxa"/>
              <w:start w:w="120" w:type="dxa"/>
              <w:bottom w:w="80" w:type="dxa"/>
              <w:end w:w="120" w:type="dxa"/>
            </w:tcMar>
          </w:tcPr>
          <w:p>
            <w:pPr>
              <w:spacing w:after="0"/>
            </w:pPr>
            <w:r>
              <w:rPr>
                <w:rFonts w:ascii="Calibri" w:hAnsi="Calibri"/>
                <w:sz w:val="16"/>
              </w:rPr>
              <w:t>Figure 6 includes zero reference line and negative-value explanation.</w:t>
            </w:r>
          </w:p>
        </w:tc>
      </w:tr>
      <w:tr>
        <w:tc>
          <w:tcPr>
            <w:tcW w:type="dxa" w:w="4680"/>
            <w:vAlign w:val="center"/>
            <w:tcMar>
              <w:top w:w="80" w:type="dxa"/>
              <w:start w:w="120" w:type="dxa"/>
              <w:bottom w:w="80" w:type="dxa"/>
              <w:end w:w="120" w:type="dxa"/>
            </w:tcMar>
          </w:tcPr>
          <w:p>
            <w:pPr>
              <w:spacing w:after="0"/>
            </w:pPr>
            <w:r>
              <w:rPr>
                <w:rFonts w:ascii="Calibri" w:hAnsi="Calibri"/>
                <w:sz w:val="16"/>
              </w:rPr>
              <w:t>H. Supplementary materials</w:t>
            </w:r>
          </w:p>
        </w:tc>
        <w:tc>
          <w:tcPr>
            <w:tcW w:type="dxa" w:w="4680"/>
            <w:vAlign w:val="center"/>
            <w:tcMar>
              <w:top w:w="80" w:type="dxa"/>
              <w:start w:w="120" w:type="dxa"/>
              <w:bottom w:w="80" w:type="dxa"/>
              <w:end w:w="120" w:type="dxa"/>
            </w:tcMar>
          </w:tcPr>
          <w:p>
            <w:pPr>
              <w:spacing w:after="0"/>
            </w:pPr>
            <w:r>
              <w:rPr>
                <w:rFonts w:ascii="Calibri" w:hAnsi="Calibri"/>
                <w:sz w:val="16"/>
              </w:rPr>
              <w:t>Include supplementary methods.</w:t>
            </w:r>
          </w:p>
        </w:tc>
      </w:tr>
      <w:tr>
        <w:tc>
          <w:tcPr>
            <w:tcW w:type="dxa" w:w="4680"/>
            <w:vAlign w:val="center"/>
            <w:tcMar>
              <w:top w:w="80" w:type="dxa"/>
              <w:start w:w="120" w:type="dxa"/>
              <w:bottom w:w="80" w:type="dxa"/>
              <w:end w:w="120" w:type="dxa"/>
            </w:tcMar>
          </w:tcPr>
          <w:p>
            <w:pPr>
              <w:spacing w:after="0"/>
            </w:pPr>
            <w:r>
              <w:rPr>
                <w:rFonts w:ascii="Calibri" w:hAnsi="Calibri"/>
                <w:sz w:val="16"/>
              </w:rPr>
              <w:t>H. Supplementary materials</w:t>
            </w:r>
          </w:p>
        </w:tc>
        <w:tc>
          <w:tcPr>
            <w:tcW w:type="dxa" w:w="4680"/>
            <w:vAlign w:val="center"/>
            <w:tcMar>
              <w:top w:w="80" w:type="dxa"/>
              <w:start w:w="120" w:type="dxa"/>
              <w:bottom w:w="80" w:type="dxa"/>
              <w:end w:w="120" w:type="dxa"/>
            </w:tcMar>
          </w:tcPr>
          <w:p>
            <w:pPr>
              <w:spacing w:after="0"/>
            </w:pPr>
            <w:r>
              <w:rPr>
                <w:rFonts w:ascii="Calibri" w:hAnsi="Calibri"/>
                <w:sz w:val="16"/>
              </w:rPr>
              <w:t>Include comparator label-wise tables.</w:t>
            </w:r>
          </w:p>
        </w:tc>
      </w:tr>
      <w:tr>
        <w:tc>
          <w:tcPr>
            <w:tcW w:type="dxa" w:w="4680"/>
            <w:vAlign w:val="center"/>
            <w:tcMar>
              <w:top w:w="80" w:type="dxa"/>
              <w:start w:w="120" w:type="dxa"/>
              <w:bottom w:w="80" w:type="dxa"/>
              <w:end w:w="120" w:type="dxa"/>
            </w:tcMar>
          </w:tcPr>
          <w:p>
            <w:pPr>
              <w:spacing w:after="0"/>
            </w:pPr>
            <w:r>
              <w:rPr>
                <w:rFonts w:ascii="Calibri" w:hAnsi="Calibri"/>
                <w:sz w:val="16"/>
              </w:rPr>
              <w:t>H. Supplementary materials</w:t>
            </w:r>
          </w:p>
        </w:tc>
        <w:tc>
          <w:tcPr>
            <w:tcW w:type="dxa" w:w="4680"/>
            <w:vAlign w:val="center"/>
            <w:tcMar>
              <w:top w:w="80" w:type="dxa"/>
              <w:start w:w="120" w:type="dxa"/>
              <w:bottom w:w="80" w:type="dxa"/>
              <w:end w:w="120" w:type="dxa"/>
            </w:tcMar>
          </w:tcPr>
          <w:p>
            <w:pPr>
              <w:spacing w:after="0"/>
            </w:pPr>
            <w:r>
              <w:rPr>
                <w:rFonts w:ascii="Calibri" w:hAnsi="Calibri"/>
                <w:sz w:val="16"/>
              </w:rPr>
              <w:t>Include thresholds.</w:t>
            </w:r>
          </w:p>
        </w:tc>
      </w:tr>
      <w:tr>
        <w:tc>
          <w:tcPr>
            <w:tcW w:type="dxa" w:w="4680"/>
            <w:vAlign w:val="center"/>
            <w:tcMar>
              <w:top w:w="80" w:type="dxa"/>
              <w:start w:w="120" w:type="dxa"/>
              <w:bottom w:w="80" w:type="dxa"/>
              <w:end w:w="120" w:type="dxa"/>
            </w:tcMar>
          </w:tcPr>
          <w:p>
            <w:pPr>
              <w:spacing w:after="0"/>
            </w:pPr>
            <w:r>
              <w:rPr>
                <w:rFonts w:ascii="Calibri" w:hAnsi="Calibri"/>
                <w:sz w:val="16"/>
              </w:rPr>
              <w:t>H. Supplementary materials</w:t>
            </w:r>
          </w:p>
        </w:tc>
        <w:tc>
          <w:tcPr>
            <w:tcW w:type="dxa" w:w="4680"/>
            <w:vAlign w:val="center"/>
            <w:tcMar>
              <w:top w:w="80" w:type="dxa"/>
              <w:start w:w="120" w:type="dxa"/>
              <w:bottom w:w="80" w:type="dxa"/>
              <w:end w:w="120" w:type="dxa"/>
            </w:tcMar>
          </w:tcPr>
          <w:p>
            <w:pPr>
              <w:spacing w:after="0"/>
            </w:pPr>
            <w:r>
              <w:rPr>
                <w:rFonts w:ascii="Calibri" w:hAnsi="Calibri"/>
                <w:sz w:val="16"/>
              </w:rPr>
              <w:t>Include AUPRC lift.</w:t>
            </w:r>
          </w:p>
        </w:tc>
      </w:tr>
      <w:tr>
        <w:tc>
          <w:tcPr>
            <w:tcW w:type="dxa" w:w="4680"/>
            <w:vAlign w:val="center"/>
            <w:tcMar>
              <w:top w:w="80" w:type="dxa"/>
              <w:start w:w="120" w:type="dxa"/>
              <w:bottom w:w="80" w:type="dxa"/>
              <w:end w:w="120" w:type="dxa"/>
            </w:tcMar>
          </w:tcPr>
          <w:p>
            <w:pPr>
              <w:spacing w:after="0"/>
            </w:pPr>
            <w:r>
              <w:rPr>
                <w:rFonts w:ascii="Calibri" w:hAnsi="Calibri"/>
                <w:sz w:val="16"/>
              </w:rPr>
              <w:t>H. Supplementary materials</w:t>
            </w:r>
          </w:p>
        </w:tc>
        <w:tc>
          <w:tcPr>
            <w:tcW w:type="dxa" w:w="4680"/>
            <w:vAlign w:val="center"/>
            <w:tcMar>
              <w:top w:w="80" w:type="dxa"/>
              <w:start w:w="120" w:type="dxa"/>
              <w:bottom w:w="80" w:type="dxa"/>
              <w:end w:w="120" w:type="dxa"/>
            </w:tcMar>
          </w:tcPr>
          <w:p>
            <w:pPr>
              <w:spacing w:after="0"/>
            </w:pPr>
            <w:r>
              <w:rPr>
                <w:rFonts w:ascii="Calibri" w:hAnsi="Calibri"/>
                <w:sz w:val="16"/>
              </w:rPr>
              <w:t>Include ROC/PR and probability distribution figures.</w:t>
            </w:r>
          </w:p>
        </w:tc>
      </w:tr>
      <w:tr>
        <w:tc>
          <w:tcPr>
            <w:tcW w:type="dxa" w:w="4680"/>
            <w:vAlign w:val="center"/>
            <w:tcMar>
              <w:top w:w="80" w:type="dxa"/>
              <w:start w:w="120" w:type="dxa"/>
              <w:bottom w:w="80" w:type="dxa"/>
              <w:end w:w="120" w:type="dxa"/>
            </w:tcMar>
          </w:tcPr>
          <w:p>
            <w:pPr>
              <w:spacing w:after="0"/>
            </w:pPr>
            <w:r>
              <w:rPr>
                <w:rFonts w:ascii="Calibri" w:hAnsi="Calibri"/>
                <w:sz w:val="16"/>
              </w:rPr>
              <w:t>I. References</w:t>
            </w:r>
          </w:p>
        </w:tc>
        <w:tc>
          <w:tcPr>
            <w:tcW w:type="dxa" w:w="4680"/>
            <w:vAlign w:val="center"/>
            <w:tcMar>
              <w:top w:w="80" w:type="dxa"/>
              <w:start w:w="120" w:type="dxa"/>
              <w:bottom w:w="80" w:type="dxa"/>
              <w:end w:w="120" w:type="dxa"/>
            </w:tcMar>
          </w:tcPr>
          <w:p>
            <w:pPr>
              <w:spacing w:after="0"/>
            </w:pPr>
            <w:r>
              <w:rPr>
                <w:rFonts w:ascii="Calibri" w:hAnsi="Calibri"/>
                <w:sz w:val="16"/>
              </w:rPr>
              <w:t>Verify DOI values.</w:t>
            </w:r>
          </w:p>
        </w:tc>
      </w:tr>
      <w:tr>
        <w:tc>
          <w:tcPr>
            <w:tcW w:type="dxa" w:w="4680"/>
            <w:vAlign w:val="center"/>
            <w:tcMar>
              <w:top w:w="80" w:type="dxa"/>
              <w:start w:w="120" w:type="dxa"/>
              <w:bottom w:w="80" w:type="dxa"/>
              <w:end w:w="120" w:type="dxa"/>
            </w:tcMar>
          </w:tcPr>
          <w:p>
            <w:pPr>
              <w:spacing w:after="0"/>
            </w:pPr>
            <w:r>
              <w:rPr>
                <w:rFonts w:ascii="Calibri" w:hAnsi="Calibri"/>
                <w:sz w:val="16"/>
              </w:rPr>
              <w:t>I. References</w:t>
            </w:r>
          </w:p>
        </w:tc>
        <w:tc>
          <w:tcPr>
            <w:tcW w:type="dxa" w:w="4680"/>
            <w:vAlign w:val="center"/>
            <w:tcMar>
              <w:top w:w="80" w:type="dxa"/>
              <w:start w:w="120" w:type="dxa"/>
              <w:bottom w:w="80" w:type="dxa"/>
              <w:end w:w="120" w:type="dxa"/>
            </w:tcMar>
          </w:tcPr>
          <w:p>
            <w:pPr>
              <w:spacing w:after="0"/>
            </w:pPr>
            <w:r>
              <w:rPr>
                <w:rFonts w:ascii="Calibri" w:hAnsi="Calibri"/>
                <w:sz w:val="16"/>
              </w:rPr>
              <w:t>Apply Vancouver style.</w:t>
            </w:r>
          </w:p>
        </w:tc>
      </w:tr>
      <w:tr>
        <w:tc>
          <w:tcPr>
            <w:tcW w:type="dxa" w:w="4680"/>
            <w:vAlign w:val="center"/>
            <w:tcMar>
              <w:top w:w="80" w:type="dxa"/>
              <w:start w:w="120" w:type="dxa"/>
              <w:bottom w:w="80" w:type="dxa"/>
              <w:end w:w="120" w:type="dxa"/>
            </w:tcMar>
          </w:tcPr>
          <w:p>
            <w:pPr>
              <w:spacing w:after="0"/>
            </w:pPr>
            <w:r>
              <w:rPr>
                <w:rFonts w:ascii="Calibri" w:hAnsi="Calibri"/>
                <w:sz w:val="16"/>
              </w:rPr>
              <w:t>I. References</w:t>
            </w:r>
          </w:p>
        </w:tc>
        <w:tc>
          <w:tcPr>
            <w:tcW w:type="dxa" w:w="4680"/>
            <w:vAlign w:val="center"/>
            <w:tcMar>
              <w:top w:w="80" w:type="dxa"/>
              <w:start w:w="120" w:type="dxa"/>
              <w:bottom w:w="80" w:type="dxa"/>
              <w:end w:w="120" w:type="dxa"/>
            </w:tcMar>
          </w:tcPr>
          <w:p>
            <w:pPr>
              <w:spacing w:after="0"/>
            </w:pPr>
            <w:r>
              <w:rPr>
                <w:rFonts w:ascii="Calibri" w:hAnsi="Calibri"/>
                <w:sz w:val="16"/>
              </w:rPr>
              <w:t>Add external-validation references for Q3 target.</w:t>
            </w:r>
          </w:p>
        </w:tc>
      </w:tr>
      <w:tr>
        <w:tc>
          <w:tcPr>
            <w:tcW w:type="dxa" w:w="4680"/>
            <w:vAlign w:val="center"/>
            <w:tcMar>
              <w:top w:w="80" w:type="dxa"/>
              <w:start w:w="120" w:type="dxa"/>
              <w:bottom w:w="80" w:type="dxa"/>
              <w:end w:w="120" w:type="dxa"/>
            </w:tcMar>
          </w:tcPr>
          <w:p>
            <w:pPr>
              <w:spacing w:after="0"/>
            </w:pPr>
            <w:r>
              <w:rPr>
                <w:rFonts w:ascii="Calibri" w:hAnsi="Calibri"/>
                <w:sz w:val="16"/>
              </w:rPr>
              <w:t>I. References</w:t>
            </w:r>
          </w:p>
        </w:tc>
        <w:tc>
          <w:tcPr>
            <w:tcW w:type="dxa" w:w="4680"/>
            <w:vAlign w:val="center"/>
            <w:tcMar>
              <w:top w:w="80" w:type="dxa"/>
              <w:start w:w="120" w:type="dxa"/>
              <w:bottom w:w="80" w:type="dxa"/>
              <w:end w:w="120" w:type="dxa"/>
            </w:tcMar>
          </w:tcPr>
          <w:p>
            <w:pPr>
              <w:spacing w:after="0"/>
            </w:pPr>
            <w:r>
              <w:rPr>
                <w:rFonts w:ascii="Calibri" w:hAnsi="Calibri"/>
                <w:sz w:val="16"/>
              </w:rPr>
              <w:t>Reduce arXiv reliance where possible.</w:t>
            </w:r>
          </w:p>
        </w:tc>
      </w:tr>
      <w:tr>
        <w:tc>
          <w:tcPr>
            <w:tcW w:type="dxa" w:w="4680"/>
            <w:vAlign w:val="center"/>
            <w:tcMar>
              <w:top w:w="80" w:type="dxa"/>
              <w:start w:w="120" w:type="dxa"/>
              <w:bottom w:w="80" w:type="dxa"/>
              <w:end w:w="120" w:type="dxa"/>
            </w:tcMar>
          </w:tcPr>
          <w:p>
            <w:pPr>
              <w:spacing w:after="0"/>
            </w:pPr>
            <w:r>
              <w:rPr>
                <w:rFonts w:ascii="Calibri" w:hAnsi="Calibri"/>
                <w:sz w:val="16"/>
              </w:rPr>
              <w:t>I. References</w:t>
            </w:r>
          </w:p>
        </w:tc>
        <w:tc>
          <w:tcPr>
            <w:tcW w:type="dxa" w:w="4680"/>
            <w:vAlign w:val="center"/>
            <w:tcMar>
              <w:top w:w="80" w:type="dxa"/>
              <w:start w:w="120" w:type="dxa"/>
              <w:bottom w:w="80" w:type="dxa"/>
              <w:end w:w="120" w:type="dxa"/>
            </w:tcMar>
          </w:tcPr>
          <w:p>
            <w:pPr>
              <w:spacing w:after="0"/>
            </w:pPr>
            <w:r>
              <w:rPr>
                <w:rFonts w:ascii="Calibri" w:hAnsi="Calibri"/>
                <w:sz w:val="16"/>
              </w:rPr>
              <w:t>Check reporting-guideline citations.</w:t>
            </w:r>
          </w:p>
        </w:tc>
      </w:tr>
      <w:tr>
        <w:tc>
          <w:tcPr>
            <w:tcW w:type="dxa" w:w="4680"/>
            <w:vAlign w:val="center"/>
            <w:tcMar>
              <w:top w:w="80" w:type="dxa"/>
              <w:start w:w="120" w:type="dxa"/>
              <w:bottom w:w="80" w:type="dxa"/>
              <w:end w:w="120" w:type="dxa"/>
            </w:tcMar>
          </w:tcPr>
          <w:p>
            <w:pPr>
              <w:spacing w:after="0"/>
            </w:pPr>
            <w:r>
              <w:rPr>
                <w:rFonts w:ascii="Calibri" w:hAnsi="Calibri"/>
                <w:sz w:val="16"/>
              </w:rPr>
              <w:t>J. Declarations</w:t>
            </w:r>
          </w:p>
        </w:tc>
        <w:tc>
          <w:tcPr>
            <w:tcW w:type="dxa" w:w="4680"/>
            <w:vAlign w:val="center"/>
            <w:tcMar>
              <w:top w:w="80" w:type="dxa"/>
              <w:start w:w="120" w:type="dxa"/>
              <w:bottom w:w="80" w:type="dxa"/>
              <w:end w:w="120" w:type="dxa"/>
            </w:tcMar>
          </w:tcPr>
          <w:p>
            <w:pPr>
              <w:spacing w:after="0"/>
            </w:pPr>
            <w:r>
              <w:rPr>
                <w:rFonts w:ascii="Calibri" w:hAnsi="Calibri"/>
                <w:sz w:val="16"/>
              </w:rPr>
              <w:t>Fill author contributions.</w:t>
            </w:r>
          </w:p>
        </w:tc>
      </w:tr>
      <w:tr>
        <w:tc>
          <w:tcPr>
            <w:tcW w:type="dxa" w:w="4680"/>
            <w:vAlign w:val="center"/>
            <w:tcMar>
              <w:top w:w="80" w:type="dxa"/>
              <w:start w:w="120" w:type="dxa"/>
              <w:bottom w:w="80" w:type="dxa"/>
              <w:end w:w="120" w:type="dxa"/>
            </w:tcMar>
          </w:tcPr>
          <w:p>
            <w:pPr>
              <w:spacing w:after="0"/>
            </w:pPr>
            <w:r>
              <w:rPr>
                <w:rFonts w:ascii="Calibri" w:hAnsi="Calibri"/>
                <w:sz w:val="16"/>
              </w:rPr>
              <w:t>J. Declarations</w:t>
            </w:r>
          </w:p>
        </w:tc>
        <w:tc>
          <w:tcPr>
            <w:tcW w:type="dxa" w:w="4680"/>
            <w:vAlign w:val="center"/>
            <w:tcMar>
              <w:top w:w="80" w:type="dxa"/>
              <w:start w:w="120" w:type="dxa"/>
              <w:bottom w:w="80" w:type="dxa"/>
              <w:end w:w="120" w:type="dxa"/>
            </w:tcMar>
          </w:tcPr>
          <w:p>
            <w:pPr>
              <w:spacing w:after="0"/>
            </w:pPr>
            <w:r>
              <w:rPr>
                <w:rFonts w:ascii="Calibri" w:hAnsi="Calibri"/>
                <w:sz w:val="16"/>
              </w:rPr>
              <w:t>Fill affiliations and corresponding author.</w:t>
            </w:r>
          </w:p>
        </w:tc>
      </w:tr>
      <w:tr>
        <w:tc>
          <w:tcPr>
            <w:tcW w:type="dxa" w:w="4680"/>
            <w:vAlign w:val="center"/>
            <w:tcMar>
              <w:top w:w="80" w:type="dxa"/>
              <w:start w:w="120" w:type="dxa"/>
              <w:bottom w:w="80" w:type="dxa"/>
              <w:end w:w="120" w:type="dxa"/>
            </w:tcMar>
          </w:tcPr>
          <w:p>
            <w:pPr>
              <w:spacing w:after="0"/>
            </w:pPr>
            <w:r>
              <w:rPr>
                <w:rFonts w:ascii="Calibri" w:hAnsi="Calibri"/>
                <w:sz w:val="16"/>
              </w:rPr>
              <w:t>J. Declarations</w:t>
            </w:r>
          </w:p>
        </w:tc>
        <w:tc>
          <w:tcPr>
            <w:tcW w:type="dxa" w:w="4680"/>
            <w:vAlign w:val="center"/>
            <w:tcMar>
              <w:top w:w="80" w:type="dxa"/>
              <w:start w:w="120" w:type="dxa"/>
              <w:bottom w:w="80" w:type="dxa"/>
              <w:end w:w="120" w:type="dxa"/>
            </w:tcMar>
          </w:tcPr>
          <w:p>
            <w:pPr>
              <w:spacing w:after="0"/>
            </w:pPr>
            <w:r>
              <w:rPr>
                <w:rFonts w:ascii="Calibri" w:hAnsi="Calibri"/>
                <w:sz w:val="16"/>
              </w:rPr>
              <w:t>Confirm conflicts.</w:t>
            </w:r>
          </w:p>
        </w:tc>
      </w:tr>
      <w:tr>
        <w:tc>
          <w:tcPr>
            <w:tcW w:type="dxa" w:w="4680"/>
            <w:vAlign w:val="center"/>
            <w:tcMar>
              <w:top w:w="80" w:type="dxa"/>
              <w:start w:w="120" w:type="dxa"/>
              <w:bottom w:w="80" w:type="dxa"/>
              <w:end w:w="120" w:type="dxa"/>
            </w:tcMar>
          </w:tcPr>
          <w:p>
            <w:pPr>
              <w:spacing w:after="0"/>
            </w:pPr>
            <w:r>
              <w:rPr>
                <w:rFonts w:ascii="Calibri" w:hAnsi="Calibri"/>
                <w:sz w:val="16"/>
              </w:rPr>
              <w:t>J. Declarations</w:t>
            </w:r>
          </w:p>
        </w:tc>
        <w:tc>
          <w:tcPr>
            <w:tcW w:type="dxa" w:w="4680"/>
            <w:vAlign w:val="center"/>
            <w:tcMar>
              <w:top w:w="80" w:type="dxa"/>
              <w:start w:w="120" w:type="dxa"/>
              <w:bottom w:w="80" w:type="dxa"/>
              <w:end w:w="120" w:type="dxa"/>
            </w:tcMar>
          </w:tcPr>
          <w:p>
            <w:pPr>
              <w:spacing w:after="0"/>
            </w:pPr>
            <w:r>
              <w:rPr>
                <w:rFonts w:ascii="Calibri" w:hAnsi="Calibri"/>
                <w:sz w:val="16"/>
              </w:rPr>
              <w:t>Confirm funding.</w:t>
            </w:r>
          </w:p>
        </w:tc>
      </w:tr>
      <w:tr>
        <w:tc>
          <w:tcPr>
            <w:tcW w:type="dxa" w:w="4680"/>
            <w:vAlign w:val="center"/>
            <w:tcMar>
              <w:top w:w="80" w:type="dxa"/>
              <w:start w:w="120" w:type="dxa"/>
              <w:bottom w:w="80" w:type="dxa"/>
              <w:end w:w="120" w:type="dxa"/>
            </w:tcMar>
          </w:tcPr>
          <w:p>
            <w:pPr>
              <w:spacing w:after="0"/>
            </w:pPr>
            <w:r>
              <w:rPr>
                <w:rFonts w:ascii="Calibri" w:hAnsi="Calibri"/>
                <w:sz w:val="16"/>
              </w:rPr>
              <w:t>J. Declarations</w:t>
            </w:r>
          </w:p>
        </w:tc>
        <w:tc>
          <w:tcPr>
            <w:tcW w:type="dxa" w:w="4680"/>
            <w:vAlign w:val="center"/>
            <w:tcMar>
              <w:top w:w="80" w:type="dxa"/>
              <w:start w:w="120" w:type="dxa"/>
              <w:bottom w:w="80" w:type="dxa"/>
              <w:end w:w="120" w:type="dxa"/>
            </w:tcMar>
          </w:tcPr>
          <w:p>
            <w:pPr>
              <w:spacing w:after="0"/>
            </w:pPr>
            <w:r>
              <w:rPr>
                <w:rFonts w:ascii="Calibri" w:hAnsi="Calibri"/>
                <w:sz w:val="16"/>
              </w:rPr>
              <w:t>Confirm IRB wording.</w:t>
            </w:r>
          </w:p>
        </w:tc>
      </w:tr>
      <w:tr>
        <w:tc>
          <w:tcPr>
            <w:tcW w:type="dxa" w:w="4680"/>
            <w:vAlign w:val="center"/>
            <w:tcMar>
              <w:top w:w="80" w:type="dxa"/>
              <w:start w:w="120" w:type="dxa"/>
              <w:bottom w:w="80" w:type="dxa"/>
              <w:end w:w="120" w:type="dxa"/>
            </w:tcMar>
          </w:tcPr>
          <w:p>
            <w:pPr>
              <w:spacing w:after="0"/>
            </w:pPr>
            <w:r>
              <w:rPr>
                <w:rFonts w:ascii="Calibri" w:hAnsi="Calibri"/>
                <w:sz w:val="16"/>
              </w:rPr>
              <w:t>K. Cover letter</w:t>
            </w:r>
          </w:p>
        </w:tc>
        <w:tc>
          <w:tcPr>
            <w:tcW w:type="dxa" w:w="4680"/>
            <w:vAlign w:val="center"/>
            <w:tcMar>
              <w:top w:w="80" w:type="dxa"/>
              <w:start w:w="120" w:type="dxa"/>
              <w:bottom w:w="80" w:type="dxa"/>
              <w:end w:w="120" w:type="dxa"/>
            </w:tcMar>
          </w:tcPr>
          <w:p>
            <w:pPr>
              <w:spacing w:after="0"/>
            </w:pPr>
            <w:r>
              <w:rPr>
                <w:rFonts w:ascii="Calibri" w:hAnsi="Calibri"/>
                <w:sz w:val="16"/>
              </w:rPr>
              <w:t>Fill journal name.</w:t>
            </w:r>
          </w:p>
        </w:tc>
      </w:tr>
      <w:tr>
        <w:tc>
          <w:tcPr>
            <w:tcW w:type="dxa" w:w="4680"/>
            <w:vAlign w:val="center"/>
            <w:tcMar>
              <w:top w:w="80" w:type="dxa"/>
              <w:start w:w="120" w:type="dxa"/>
              <w:bottom w:w="80" w:type="dxa"/>
              <w:end w:w="120" w:type="dxa"/>
            </w:tcMar>
          </w:tcPr>
          <w:p>
            <w:pPr>
              <w:spacing w:after="0"/>
            </w:pPr>
            <w:r>
              <w:rPr>
                <w:rFonts w:ascii="Calibri" w:hAnsi="Calibri"/>
                <w:sz w:val="16"/>
              </w:rPr>
              <w:t>K. Cover letter</w:t>
            </w:r>
          </w:p>
        </w:tc>
        <w:tc>
          <w:tcPr>
            <w:tcW w:type="dxa" w:w="4680"/>
            <w:vAlign w:val="center"/>
            <w:tcMar>
              <w:top w:w="80" w:type="dxa"/>
              <w:start w:w="120" w:type="dxa"/>
              <w:bottom w:w="80" w:type="dxa"/>
              <w:end w:w="120" w:type="dxa"/>
            </w:tcMar>
          </w:tcPr>
          <w:p>
            <w:pPr>
              <w:spacing w:after="0"/>
            </w:pPr>
            <w:r>
              <w:rPr>
                <w:rFonts w:ascii="Calibri" w:hAnsi="Calibri"/>
                <w:sz w:val="16"/>
              </w:rPr>
              <w:t>Fill editor name.</w:t>
            </w:r>
          </w:p>
        </w:tc>
      </w:tr>
      <w:tr>
        <w:tc>
          <w:tcPr>
            <w:tcW w:type="dxa" w:w="4680"/>
            <w:vAlign w:val="center"/>
            <w:tcMar>
              <w:top w:w="80" w:type="dxa"/>
              <w:start w:w="120" w:type="dxa"/>
              <w:bottom w:w="80" w:type="dxa"/>
              <w:end w:w="120" w:type="dxa"/>
            </w:tcMar>
          </w:tcPr>
          <w:p>
            <w:pPr>
              <w:spacing w:after="0"/>
            </w:pPr>
            <w:r>
              <w:rPr>
                <w:rFonts w:ascii="Calibri" w:hAnsi="Calibri"/>
                <w:sz w:val="16"/>
              </w:rPr>
              <w:t>K. Cover letter</w:t>
            </w:r>
          </w:p>
        </w:tc>
        <w:tc>
          <w:tcPr>
            <w:tcW w:type="dxa" w:w="4680"/>
            <w:vAlign w:val="center"/>
            <w:tcMar>
              <w:top w:w="80" w:type="dxa"/>
              <w:start w:w="120" w:type="dxa"/>
              <w:bottom w:w="80" w:type="dxa"/>
              <w:end w:w="120" w:type="dxa"/>
            </w:tcMar>
          </w:tcPr>
          <w:p>
            <w:pPr>
              <w:spacing w:after="0"/>
            </w:pPr>
            <w:r>
              <w:rPr>
                <w:rFonts w:ascii="Calibri" w:hAnsi="Calibri"/>
                <w:sz w:val="16"/>
              </w:rPr>
              <w:t>Confirm no prior publication.</w:t>
            </w:r>
          </w:p>
        </w:tc>
      </w:tr>
      <w:tr>
        <w:tc>
          <w:tcPr>
            <w:tcW w:type="dxa" w:w="4680"/>
            <w:vAlign w:val="center"/>
            <w:tcMar>
              <w:top w:w="80" w:type="dxa"/>
              <w:start w:w="120" w:type="dxa"/>
              <w:bottom w:w="80" w:type="dxa"/>
              <w:end w:w="120" w:type="dxa"/>
            </w:tcMar>
          </w:tcPr>
          <w:p>
            <w:pPr>
              <w:spacing w:after="0"/>
            </w:pPr>
            <w:r>
              <w:rPr>
                <w:rFonts w:ascii="Calibri" w:hAnsi="Calibri"/>
                <w:sz w:val="16"/>
              </w:rPr>
              <w:t>K. Cover letter</w:t>
            </w:r>
          </w:p>
        </w:tc>
        <w:tc>
          <w:tcPr>
            <w:tcW w:type="dxa" w:w="4680"/>
            <w:vAlign w:val="center"/>
            <w:tcMar>
              <w:top w:w="80" w:type="dxa"/>
              <w:start w:w="120" w:type="dxa"/>
              <w:bottom w:w="80" w:type="dxa"/>
              <w:end w:w="120" w:type="dxa"/>
            </w:tcMar>
          </w:tcPr>
          <w:p>
            <w:pPr>
              <w:spacing w:after="0"/>
            </w:pPr>
            <w:r>
              <w:rPr>
                <w:rFonts w:ascii="Calibri" w:hAnsi="Calibri"/>
                <w:sz w:val="16"/>
              </w:rPr>
              <w:t>Confirm no concurrent submission.</w:t>
            </w:r>
          </w:p>
        </w:tc>
      </w:tr>
      <w:tr>
        <w:tc>
          <w:tcPr>
            <w:tcW w:type="dxa" w:w="4680"/>
            <w:vAlign w:val="center"/>
            <w:tcMar>
              <w:top w:w="80" w:type="dxa"/>
              <w:start w:w="120" w:type="dxa"/>
              <w:bottom w:w="80" w:type="dxa"/>
              <w:end w:w="120" w:type="dxa"/>
            </w:tcMar>
          </w:tcPr>
          <w:p>
            <w:pPr>
              <w:spacing w:after="0"/>
            </w:pPr>
            <w:r>
              <w:rPr>
                <w:rFonts w:ascii="Calibri" w:hAnsi="Calibri"/>
                <w:sz w:val="16"/>
              </w:rPr>
              <w:t>K. Cover letter</w:t>
            </w:r>
          </w:p>
        </w:tc>
        <w:tc>
          <w:tcPr>
            <w:tcW w:type="dxa" w:w="4680"/>
            <w:vAlign w:val="center"/>
            <w:tcMar>
              <w:top w:w="80" w:type="dxa"/>
              <w:start w:w="120" w:type="dxa"/>
              <w:bottom w:w="80" w:type="dxa"/>
              <w:end w:w="120" w:type="dxa"/>
            </w:tcMar>
          </w:tcPr>
          <w:p>
            <w:pPr>
              <w:spacing w:after="0"/>
            </w:pPr>
            <w:r>
              <w:rPr>
                <w:rFonts w:ascii="Calibri" w:hAnsi="Calibri"/>
                <w:sz w:val="16"/>
              </w:rPr>
              <w:t>Confirm all authors approved.</w:t>
            </w:r>
          </w:p>
        </w:tc>
      </w:tr>
      <w:tr>
        <w:tc>
          <w:tcPr>
            <w:tcW w:type="dxa" w:w="4680"/>
            <w:vAlign w:val="center"/>
            <w:tcMar>
              <w:top w:w="80" w:type="dxa"/>
              <w:start w:w="120" w:type="dxa"/>
              <w:bottom w:w="80" w:type="dxa"/>
              <w:end w:w="120" w:type="dxa"/>
            </w:tcMar>
          </w:tcPr>
          <w:p>
            <w:pPr>
              <w:spacing w:after="0"/>
            </w:pPr>
            <w:r>
              <w:rPr>
                <w:rFonts w:ascii="Calibri" w:hAnsi="Calibri"/>
                <w:sz w:val="16"/>
              </w:rPr>
              <w:t>L. Journal formatting</w:t>
            </w:r>
          </w:p>
        </w:tc>
        <w:tc>
          <w:tcPr>
            <w:tcW w:type="dxa" w:w="4680"/>
            <w:vAlign w:val="center"/>
            <w:tcMar>
              <w:top w:w="80" w:type="dxa"/>
              <w:start w:w="120" w:type="dxa"/>
              <w:bottom w:w="80" w:type="dxa"/>
              <w:end w:w="120" w:type="dxa"/>
            </w:tcMar>
          </w:tcPr>
          <w:p>
            <w:pPr>
              <w:spacing w:after="0"/>
            </w:pPr>
            <w:r>
              <w:rPr>
                <w:rFonts w:ascii="Calibri" w:hAnsi="Calibri"/>
                <w:sz w:val="16"/>
              </w:rPr>
              <w:t>Check abstract word limit.</w:t>
            </w:r>
          </w:p>
        </w:tc>
      </w:tr>
      <w:tr>
        <w:tc>
          <w:tcPr>
            <w:tcW w:type="dxa" w:w="4680"/>
            <w:vAlign w:val="center"/>
            <w:tcMar>
              <w:top w:w="80" w:type="dxa"/>
              <w:start w:w="120" w:type="dxa"/>
              <w:bottom w:w="80" w:type="dxa"/>
              <w:end w:w="120" w:type="dxa"/>
            </w:tcMar>
          </w:tcPr>
          <w:p>
            <w:pPr>
              <w:spacing w:after="0"/>
            </w:pPr>
            <w:r>
              <w:rPr>
                <w:rFonts w:ascii="Calibri" w:hAnsi="Calibri"/>
                <w:sz w:val="16"/>
              </w:rPr>
              <w:t>L. Journal formatting</w:t>
            </w:r>
          </w:p>
        </w:tc>
        <w:tc>
          <w:tcPr>
            <w:tcW w:type="dxa" w:w="4680"/>
            <w:vAlign w:val="center"/>
            <w:tcMar>
              <w:top w:w="80" w:type="dxa"/>
              <w:start w:w="120" w:type="dxa"/>
              <w:bottom w:w="80" w:type="dxa"/>
              <w:end w:w="120" w:type="dxa"/>
            </w:tcMar>
          </w:tcPr>
          <w:p>
            <w:pPr>
              <w:spacing w:after="0"/>
            </w:pPr>
            <w:r>
              <w:rPr>
                <w:rFonts w:ascii="Calibri" w:hAnsi="Calibri"/>
                <w:sz w:val="16"/>
              </w:rPr>
              <w:t>Check manuscript word limit.</w:t>
            </w:r>
          </w:p>
        </w:tc>
      </w:tr>
      <w:tr>
        <w:tc>
          <w:tcPr>
            <w:tcW w:type="dxa" w:w="4680"/>
            <w:vAlign w:val="center"/>
            <w:tcMar>
              <w:top w:w="80" w:type="dxa"/>
              <w:start w:w="120" w:type="dxa"/>
              <w:bottom w:w="80" w:type="dxa"/>
              <w:end w:w="120" w:type="dxa"/>
            </w:tcMar>
          </w:tcPr>
          <w:p>
            <w:pPr>
              <w:spacing w:after="0"/>
            </w:pPr>
            <w:r>
              <w:rPr>
                <w:rFonts w:ascii="Calibri" w:hAnsi="Calibri"/>
                <w:sz w:val="16"/>
              </w:rPr>
              <w:t>L. Journal formatting</w:t>
            </w:r>
          </w:p>
        </w:tc>
        <w:tc>
          <w:tcPr>
            <w:tcW w:type="dxa" w:w="4680"/>
            <w:vAlign w:val="center"/>
            <w:tcMar>
              <w:top w:w="80" w:type="dxa"/>
              <w:start w:w="120" w:type="dxa"/>
              <w:bottom w:w="80" w:type="dxa"/>
              <w:end w:w="120" w:type="dxa"/>
            </w:tcMar>
          </w:tcPr>
          <w:p>
            <w:pPr>
              <w:spacing w:after="0"/>
            </w:pPr>
            <w:r>
              <w:rPr>
                <w:rFonts w:ascii="Calibri" w:hAnsi="Calibri"/>
                <w:sz w:val="16"/>
              </w:rPr>
              <w:t>Check table/figure upload format.</w:t>
            </w:r>
          </w:p>
        </w:tc>
      </w:tr>
      <w:tr>
        <w:tc>
          <w:tcPr>
            <w:tcW w:type="dxa" w:w="4680"/>
            <w:vAlign w:val="center"/>
            <w:tcMar>
              <w:top w:w="80" w:type="dxa"/>
              <w:start w:w="120" w:type="dxa"/>
              <w:bottom w:w="80" w:type="dxa"/>
              <w:end w:w="120" w:type="dxa"/>
            </w:tcMar>
          </w:tcPr>
          <w:p>
            <w:pPr>
              <w:spacing w:after="0"/>
            </w:pPr>
            <w:r>
              <w:rPr>
                <w:rFonts w:ascii="Calibri" w:hAnsi="Calibri"/>
                <w:sz w:val="16"/>
              </w:rPr>
              <w:t>L. Journal formatting</w:t>
            </w:r>
          </w:p>
        </w:tc>
        <w:tc>
          <w:tcPr>
            <w:tcW w:type="dxa" w:w="4680"/>
            <w:vAlign w:val="center"/>
            <w:tcMar>
              <w:top w:w="80" w:type="dxa"/>
              <w:start w:w="120" w:type="dxa"/>
              <w:bottom w:w="80" w:type="dxa"/>
              <w:end w:w="120" w:type="dxa"/>
            </w:tcMar>
          </w:tcPr>
          <w:p>
            <w:pPr>
              <w:spacing w:after="0"/>
            </w:pPr>
            <w:r>
              <w:rPr>
                <w:rFonts w:ascii="Calibri" w:hAnsi="Calibri"/>
                <w:sz w:val="16"/>
              </w:rPr>
              <w:t>Prepare reporting checklist.</w:t>
            </w:r>
          </w:p>
        </w:tc>
      </w:tr>
      <w:tr>
        <w:tc>
          <w:tcPr>
            <w:tcW w:type="dxa" w:w="4680"/>
            <w:vAlign w:val="center"/>
            <w:tcMar>
              <w:top w:w="80" w:type="dxa"/>
              <w:start w:w="120" w:type="dxa"/>
              <w:bottom w:w="80" w:type="dxa"/>
              <w:end w:w="120" w:type="dxa"/>
            </w:tcMar>
          </w:tcPr>
          <w:p>
            <w:pPr>
              <w:spacing w:after="0"/>
            </w:pPr>
            <w:r>
              <w:rPr>
                <w:rFonts w:ascii="Calibri" w:hAnsi="Calibri"/>
                <w:sz w:val="16"/>
              </w:rPr>
              <w:t>L. Journal formatting</w:t>
            </w:r>
          </w:p>
        </w:tc>
        <w:tc>
          <w:tcPr>
            <w:tcW w:type="dxa" w:w="4680"/>
            <w:vAlign w:val="center"/>
            <w:tcMar>
              <w:top w:w="80" w:type="dxa"/>
              <w:start w:w="120" w:type="dxa"/>
              <w:bottom w:w="80" w:type="dxa"/>
              <w:end w:w="120" w:type="dxa"/>
            </w:tcMar>
          </w:tcPr>
          <w:p>
            <w:pPr>
              <w:spacing w:after="0"/>
            </w:pPr>
            <w:r>
              <w:rPr>
                <w:rFonts w:ascii="Calibri" w:hAnsi="Calibri"/>
                <w:sz w:val="16"/>
              </w:rPr>
              <w:t>Scrub private paths before public release.</w:t>
            </w:r>
          </w:p>
        </w:tc>
      </w:tr>
    </w:tbl>
    <w:p>
      <w:pPr>
        <w:pStyle w:val="Heading1"/>
      </w:pPr>
      <w:r>
        <w:t>Figure export status</w:t>
      </w:r>
    </w:p>
    <w:p>
      <w:pPr>
        <w:pStyle w:val="Heading2"/>
      </w:pPr>
      <w:r>
        <w:t>300 dpi exports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pPr>
            <w:r>
              <w:rPr>
                <w:rFonts w:ascii="Calibri" w:hAnsi="Calibri"/>
                <w:b/>
                <w:sz w:val="16"/>
              </w:rPr>
              <w:t>figure</w:t>
            </w:r>
          </w:p>
        </w:tc>
        <w:tc>
          <w:tcPr>
            <w:tcW w:type="dxa" w:w="1872"/>
            <w:vAlign w:val="center"/>
            <w:tcMar>
              <w:top w:w="80" w:type="dxa"/>
              <w:start w:w="120" w:type="dxa"/>
              <w:bottom w:w="80" w:type="dxa"/>
              <w:end w:w="120" w:type="dxa"/>
            </w:tcMar>
            <w:shd w:fill="F2F4F7"/>
          </w:tcPr>
          <w:p>
            <w:pPr>
              <w:spacing w:after="0"/>
            </w:pPr>
            <w:r>
              <w:rPr>
                <w:rFonts w:ascii="Calibri" w:hAnsi="Calibri"/>
                <w:b/>
                <w:sz w:val="16"/>
              </w:rPr>
              <w:t>width_px</w:t>
            </w:r>
          </w:p>
        </w:tc>
        <w:tc>
          <w:tcPr>
            <w:tcW w:type="dxa" w:w="1872"/>
            <w:vAlign w:val="center"/>
            <w:tcMar>
              <w:top w:w="80" w:type="dxa"/>
              <w:start w:w="120" w:type="dxa"/>
              <w:bottom w:w="80" w:type="dxa"/>
              <w:end w:w="120" w:type="dxa"/>
            </w:tcMar>
            <w:shd w:fill="F2F4F7"/>
          </w:tcPr>
          <w:p>
            <w:pPr>
              <w:spacing w:after="0"/>
            </w:pPr>
            <w:r>
              <w:rPr>
                <w:rFonts w:ascii="Calibri" w:hAnsi="Calibri"/>
                <w:b/>
                <w:sz w:val="16"/>
              </w:rPr>
              <w:t>height_px</w:t>
            </w:r>
          </w:p>
        </w:tc>
        <w:tc>
          <w:tcPr>
            <w:tcW w:type="dxa" w:w="1872"/>
            <w:vAlign w:val="center"/>
            <w:tcMar>
              <w:top w:w="80" w:type="dxa"/>
              <w:start w:w="120" w:type="dxa"/>
              <w:bottom w:w="80" w:type="dxa"/>
              <w:end w:w="120" w:type="dxa"/>
            </w:tcMar>
            <w:shd w:fill="F2F4F7"/>
          </w:tcPr>
          <w:p>
            <w:pPr>
              <w:spacing w:after="0"/>
            </w:pPr>
            <w:r>
              <w:rPr>
                <w:rFonts w:ascii="Calibri" w:hAnsi="Calibri"/>
                <w:b/>
                <w:sz w:val="16"/>
              </w:rPr>
              <w:t>dpi</w:t>
            </w:r>
          </w:p>
        </w:tc>
        <w:tc>
          <w:tcPr>
            <w:tcW w:type="dxa" w:w="1872"/>
            <w:vAlign w:val="center"/>
            <w:tcMar>
              <w:top w:w="80" w:type="dxa"/>
              <w:start w:w="120" w:type="dxa"/>
              <w:bottom w:w="80" w:type="dxa"/>
              <w:end w:w="120" w:type="dxa"/>
            </w:tcMar>
            <w:shd w:fill="F2F4F7"/>
          </w:tcPr>
          <w:p>
            <w:pPr>
              <w:spacing w:after="0"/>
            </w:pPr>
            <w:r>
              <w:rPr>
                <w:rFonts w:ascii="Calibri" w:hAnsi="Calibri"/>
                <w:b/>
                <w:sz w:val="16"/>
              </w:rPr>
              <w:t>format_recommendation</w:t>
            </w:r>
          </w:p>
        </w:tc>
      </w:tr>
      <w:tr>
        <w:tc>
          <w:tcPr>
            <w:tcW w:type="dxa" w:w="1872"/>
            <w:vAlign w:val="center"/>
            <w:tcMar>
              <w:top w:w="80" w:type="dxa"/>
              <w:start w:w="120" w:type="dxa"/>
              <w:bottom w:w="80" w:type="dxa"/>
              <w:end w:w="120" w:type="dxa"/>
            </w:tcMar>
          </w:tcPr>
          <w:p>
            <w:pPr>
              <w:spacing w:after="0"/>
            </w:pPr>
            <w:r>
              <w:rPr>
                <w:rFonts w:ascii="Calibri" w:hAnsi="Calibri"/>
                <w:sz w:val="16"/>
              </w:rPr>
              <w:t>figure1_study_workflow_three_models</w:t>
            </w:r>
          </w:p>
        </w:tc>
        <w:tc>
          <w:tcPr>
            <w:tcW w:type="dxa" w:w="1872"/>
            <w:vAlign w:val="center"/>
            <w:tcMar>
              <w:top w:w="80" w:type="dxa"/>
              <w:start w:w="120" w:type="dxa"/>
              <w:bottom w:w="80" w:type="dxa"/>
              <w:end w:w="120" w:type="dxa"/>
            </w:tcMar>
          </w:tcPr>
          <w:p>
            <w:pPr>
              <w:spacing w:after="0"/>
            </w:pPr>
            <w:r>
              <w:rPr>
                <w:rFonts w:ascii="Calibri" w:hAnsi="Calibri"/>
                <w:sz w:val="16"/>
              </w:rPr>
              <w:t>3240</w:t>
            </w:r>
          </w:p>
        </w:tc>
        <w:tc>
          <w:tcPr>
            <w:tcW w:type="dxa" w:w="1872"/>
            <w:vAlign w:val="center"/>
            <w:tcMar>
              <w:top w:w="80" w:type="dxa"/>
              <w:start w:w="120" w:type="dxa"/>
              <w:bottom w:w="80" w:type="dxa"/>
              <w:end w:w="120" w:type="dxa"/>
            </w:tcMar>
          </w:tcPr>
          <w:p>
            <w:pPr>
              <w:spacing w:after="0"/>
            </w:pPr>
            <w:r>
              <w:rPr>
                <w:rFonts w:ascii="Calibri" w:hAnsi="Calibri"/>
                <w:sz w:val="16"/>
              </w:rPr>
              <w:t>1260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figure2_densenet121_internal_external_ci</w:t>
            </w:r>
          </w:p>
        </w:tc>
        <w:tc>
          <w:tcPr>
            <w:tcW w:type="dxa" w:w="1872"/>
            <w:vAlign w:val="center"/>
            <w:tcMar>
              <w:top w:w="80" w:type="dxa"/>
              <w:start w:w="120" w:type="dxa"/>
              <w:bottom w:w="80" w:type="dxa"/>
              <w:end w:w="120" w:type="dxa"/>
            </w:tcMar>
          </w:tcPr>
          <w:p>
            <w:pPr>
              <w:spacing w:after="0"/>
            </w:pPr>
            <w:r>
              <w:rPr>
                <w:rFonts w:ascii="Calibri" w:hAnsi="Calibri"/>
                <w:sz w:val="16"/>
              </w:rPr>
              <w:t>3060</w:t>
            </w:r>
          </w:p>
        </w:tc>
        <w:tc>
          <w:tcPr>
            <w:tcW w:type="dxa" w:w="1872"/>
            <w:vAlign w:val="center"/>
            <w:tcMar>
              <w:top w:w="80" w:type="dxa"/>
              <w:start w:w="120" w:type="dxa"/>
              <w:bottom w:w="80" w:type="dxa"/>
              <w:end w:w="120" w:type="dxa"/>
            </w:tcMar>
          </w:tcPr>
          <w:p>
            <w:pPr>
              <w:spacing w:after="0"/>
            </w:pPr>
            <w:r>
              <w:rPr>
                <w:rFonts w:ascii="Calibri" w:hAnsi="Calibri"/>
                <w:sz w:val="16"/>
              </w:rPr>
              <w:t>1500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figure3_prevalence_auprc_baseline_lift</w:t>
            </w:r>
          </w:p>
        </w:tc>
        <w:tc>
          <w:tcPr>
            <w:tcW w:type="dxa" w:w="1872"/>
            <w:vAlign w:val="center"/>
            <w:tcMar>
              <w:top w:w="80" w:type="dxa"/>
              <w:start w:w="120" w:type="dxa"/>
              <w:bottom w:w="80" w:type="dxa"/>
              <w:end w:w="120" w:type="dxa"/>
            </w:tcMar>
          </w:tcPr>
          <w:p>
            <w:pPr>
              <w:spacing w:after="0"/>
            </w:pPr>
            <w:r>
              <w:rPr>
                <w:rFonts w:ascii="Calibri" w:hAnsi="Calibri"/>
                <w:sz w:val="16"/>
              </w:rPr>
              <w:t>3300</w:t>
            </w:r>
          </w:p>
        </w:tc>
        <w:tc>
          <w:tcPr>
            <w:tcW w:type="dxa" w:w="1872"/>
            <w:vAlign w:val="center"/>
            <w:tcMar>
              <w:top w:w="80" w:type="dxa"/>
              <w:start w:w="120" w:type="dxa"/>
              <w:bottom w:w="80" w:type="dxa"/>
              <w:end w:w="120" w:type="dxa"/>
            </w:tcMar>
          </w:tcPr>
          <w:p>
            <w:pPr>
              <w:spacing w:after="0"/>
            </w:pPr>
            <w:r>
              <w:rPr>
                <w:rFonts w:ascii="Calibri" w:hAnsi="Calibri"/>
                <w:sz w:val="16"/>
              </w:rPr>
              <w:t>1260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figure4_calibration_curves_upgraded</w:t>
            </w:r>
          </w:p>
        </w:tc>
        <w:tc>
          <w:tcPr>
            <w:tcW w:type="dxa" w:w="1872"/>
            <w:vAlign w:val="center"/>
            <w:tcMar>
              <w:top w:w="80" w:type="dxa"/>
              <w:start w:w="120" w:type="dxa"/>
              <w:bottom w:w="80" w:type="dxa"/>
              <w:end w:w="120" w:type="dxa"/>
            </w:tcMar>
          </w:tcPr>
          <w:p>
            <w:pPr>
              <w:spacing w:after="0"/>
            </w:pPr>
            <w:r>
              <w:rPr>
                <w:rFonts w:ascii="Calibri" w:hAnsi="Calibri"/>
                <w:sz w:val="16"/>
              </w:rPr>
              <w:t>1288</w:t>
            </w:r>
          </w:p>
        </w:tc>
        <w:tc>
          <w:tcPr>
            <w:tcW w:type="dxa" w:w="1872"/>
            <w:vAlign w:val="center"/>
            <w:tcMar>
              <w:top w:w="80" w:type="dxa"/>
              <w:start w:w="120" w:type="dxa"/>
              <w:bottom w:w="80" w:type="dxa"/>
              <w:end w:w="120" w:type="dxa"/>
            </w:tcMar>
          </w:tcPr>
          <w:p>
            <w:pPr>
              <w:spacing w:after="0"/>
            </w:pPr>
            <w:r>
              <w:rPr>
                <w:rFonts w:ascii="Calibri" w:hAnsi="Calibri"/>
                <w:sz w:val="16"/>
              </w:rPr>
              <w:t>620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figure5_gradcam_failure_modes_upgraded</w:t>
            </w:r>
          </w:p>
        </w:tc>
        <w:tc>
          <w:tcPr>
            <w:tcW w:type="dxa" w:w="1872"/>
            <w:vAlign w:val="center"/>
            <w:tcMar>
              <w:top w:w="80" w:type="dxa"/>
              <w:start w:w="120" w:type="dxa"/>
              <w:bottom w:w="80" w:type="dxa"/>
              <w:end w:w="120" w:type="dxa"/>
            </w:tcMar>
          </w:tcPr>
          <w:p>
            <w:pPr>
              <w:spacing w:after="0"/>
            </w:pPr>
            <w:r>
              <w:rPr>
                <w:rFonts w:ascii="Calibri" w:hAnsi="Calibri"/>
                <w:sz w:val="16"/>
              </w:rPr>
              <w:t>1280</w:t>
            </w:r>
          </w:p>
        </w:tc>
        <w:tc>
          <w:tcPr>
            <w:tcW w:type="dxa" w:w="1872"/>
            <w:vAlign w:val="center"/>
            <w:tcMar>
              <w:top w:w="80" w:type="dxa"/>
              <w:start w:w="120" w:type="dxa"/>
              <w:bottom w:w="80" w:type="dxa"/>
              <w:end w:w="120" w:type="dxa"/>
            </w:tcMar>
          </w:tcPr>
          <w:p>
            <w:pPr>
              <w:spacing w:after="0"/>
            </w:pPr>
            <w:r>
              <w:rPr>
                <w:rFonts w:ascii="Calibri" w:hAnsi="Calibri"/>
                <w:sz w:val="16"/>
              </w:rPr>
              <w:t>560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figure6_internal_minus_external_auroc</w:t>
            </w:r>
          </w:p>
        </w:tc>
        <w:tc>
          <w:tcPr>
            <w:tcW w:type="dxa" w:w="1872"/>
            <w:vAlign w:val="center"/>
            <w:tcMar>
              <w:top w:w="80" w:type="dxa"/>
              <w:start w:w="120" w:type="dxa"/>
              <w:bottom w:w="80" w:type="dxa"/>
              <w:end w:w="120" w:type="dxa"/>
            </w:tcMar>
          </w:tcPr>
          <w:p>
            <w:pPr>
              <w:spacing w:after="0"/>
            </w:pPr>
            <w:r>
              <w:rPr>
                <w:rFonts w:ascii="Calibri" w:hAnsi="Calibri"/>
                <w:sz w:val="16"/>
              </w:rPr>
              <w:t>2340</w:t>
            </w:r>
          </w:p>
        </w:tc>
        <w:tc>
          <w:tcPr>
            <w:tcW w:type="dxa" w:w="1872"/>
            <w:vAlign w:val="center"/>
            <w:tcMar>
              <w:top w:w="80" w:type="dxa"/>
              <w:start w:w="120" w:type="dxa"/>
              <w:bottom w:w="80" w:type="dxa"/>
              <w:end w:w="120" w:type="dxa"/>
            </w:tcMar>
          </w:tcPr>
          <w:p>
            <w:pPr>
              <w:spacing w:after="0"/>
            </w:pPr>
            <w:r>
              <w:rPr>
                <w:rFonts w:ascii="Calibri" w:hAnsi="Calibri"/>
                <w:sz w:val="16"/>
              </w:rPr>
              <w:t>1320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r>
        <w:tc>
          <w:tcPr>
            <w:tcW w:type="dxa" w:w="1872"/>
            <w:vAlign w:val="center"/>
            <w:tcMar>
              <w:top w:w="80" w:type="dxa"/>
              <w:start w:w="120" w:type="dxa"/>
              <w:bottom w:w="80" w:type="dxa"/>
              <w:end w:w="120" w:type="dxa"/>
            </w:tcMar>
          </w:tcPr>
          <w:p>
            <w:pPr>
              <w:spacing w:after="0"/>
            </w:pPr>
            <w:r>
              <w:rPr>
                <w:rFonts w:ascii="Calibri" w:hAnsi="Calibri"/>
                <w:sz w:val="16"/>
              </w:rPr>
              <w:t>graphical_abstract_plan_final15</w:t>
            </w:r>
          </w:p>
        </w:tc>
        <w:tc>
          <w:tcPr>
            <w:tcW w:type="dxa" w:w="1872"/>
            <w:vAlign w:val="center"/>
            <w:tcMar>
              <w:top w:w="80" w:type="dxa"/>
              <w:start w:w="120" w:type="dxa"/>
              <w:bottom w:w="80" w:type="dxa"/>
              <w:end w:w="120" w:type="dxa"/>
            </w:tcMar>
          </w:tcPr>
          <w:p>
            <w:pPr>
              <w:spacing w:after="0"/>
            </w:pPr>
            <w:r>
              <w:rPr>
                <w:rFonts w:ascii="Calibri" w:hAnsi="Calibri"/>
                <w:sz w:val="16"/>
              </w:rPr>
              <w:t>3450</w:t>
            </w:r>
          </w:p>
        </w:tc>
        <w:tc>
          <w:tcPr>
            <w:tcW w:type="dxa" w:w="1872"/>
            <w:vAlign w:val="center"/>
            <w:tcMar>
              <w:top w:w="80" w:type="dxa"/>
              <w:start w:w="120" w:type="dxa"/>
              <w:bottom w:w="80" w:type="dxa"/>
              <w:end w:w="120" w:type="dxa"/>
            </w:tcMar>
          </w:tcPr>
          <w:p>
            <w:pPr>
              <w:spacing w:after="0"/>
            </w:pPr>
            <w:r>
              <w:rPr>
                <w:rFonts w:ascii="Calibri" w:hAnsi="Calibri"/>
                <w:sz w:val="16"/>
              </w:rPr>
              <w:t>1500</w:t>
            </w:r>
          </w:p>
        </w:tc>
        <w:tc>
          <w:tcPr>
            <w:tcW w:type="dxa" w:w="1872"/>
            <w:vAlign w:val="center"/>
            <w:tcMar>
              <w:top w:w="80" w:type="dxa"/>
              <w:start w:w="120" w:type="dxa"/>
              <w:bottom w:w="80" w:type="dxa"/>
              <w:end w:w="120" w:type="dxa"/>
            </w:tcMar>
          </w:tcPr>
          <w:p>
            <w:pPr>
              <w:spacing w:after="0"/>
            </w:pPr>
            <w:r>
              <w:rPr>
                <w:rFonts w:ascii="Calibri" w:hAnsi="Calibri"/>
                <w:sz w:val="16"/>
              </w:rPr>
              <w:t>300</w:t>
            </w:r>
          </w:p>
        </w:tc>
        <w:tc>
          <w:tcPr>
            <w:tcW w:type="dxa" w:w="1872"/>
            <w:vAlign w:val="center"/>
            <w:tcMar>
              <w:top w:w="80" w:type="dxa"/>
              <w:start w:w="120" w:type="dxa"/>
              <w:bottom w:w="80" w:type="dxa"/>
              <w:end w:w="120" w:type="dxa"/>
            </w:tcMar>
          </w:tcPr>
          <w:p>
            <w:pPr>
              <w:spacing w:after="0"/>
            </w:pPr>
            <w:r>
              <w:rPr>
                <w:rFonts w:ascii="Calibri" w:hAnsi="Calibri"/>
                <w:sz w:val="16"/>
              </w:rPr>
              <w:t>Submit TIFF if required by journal; PNG/PDF may be acceptable for review upload.</w:t>
            </w:r>
          </w:p>
        </w:tc>
      </w:tr>
    </w:tbl>
    <w:p>
      <w:pPr>
        <w:pStyle w:val="Heading1"/>
      </w:pPr>
      <w:r>
        <w:t>SCI Q4 feasibility assessment</w:t>
      </w:r>
    </w:p>
    <w:p>
      <w:r>
        <w:t>SCI Q4 feasibility is good after placeholders are filled and references are formatted. The strongest pitch is a reproducible public-subset validation and calibration-transfer package with clear reporting safeguards.</w:t>
      </w:r>
    </w:p>
    <w:p>
      <w:pPr>
        <w:pStyle w:val="Heading1"/>
      </w:pPr>
      <w:r>
        <w:t>SCI Q3 feasibility assessment</w:t>
      </w:r>
    </w:p>
    <w:p>
      <w:r>
        <w:t>SCI Q3 feasibility is possible but less secure. A Q3 journal may request full official-cohort validation, more external-validation literature, stronger external subgroup analysis, or a clearer repository release. Positioning should emphasize transparency, calibration transfer, and reproducibility rather than performance leadership.</w:t>
      </w:r>
    </w:p>
    <w:p>
      <w:pPr>
        <w:pStyle w:val="Heading1"/>
      </w:pPr>
      <w:r>
        <w:t>Remaining items to fill before submission</w:t>
      </w:r>
    </w:p>
    <w:p>
      <w:pPr>
        <w:pStyle w:val="ListBullet"/>
      </w:pPr>
      <w:r>
        <w:t>Target journal and editor name.</w:t>
      </w:r>
    </w:p>
    <w:p>
      <w:pPr>
        <w:pStyle w:val="ListBullet"/>
      </w:pPr>
      <w:r>
        <w:t>Author names, affiliations, corresponding author, email, and ORCID.</w:t>
      </w:r>
    </w:p>
    <w:p>
      <w:pPr>
        <w:pStyle w:val="ListBullet"/>
      </w:pPr>
      <w:r>
        <w:t>Repository or archive link.</w:t>
      </w:r>
    </w:p>
    <w:p>
      <w:pPr>
        <w:pStyle w:val="ListBullet"/>
      </w:pPr>
      <w:r>
        <w:t>IRB exemption or waiver wording.</w:t>
      </w:r>
    </w:p>
    <w:p>
      <w:pPr>
        <w:pStyle w:val="ListBullet"/>
      </w:pPr>
      <w:r>
        <w:t>Reference DOI/volume/issue/page verification.</w:t>
      </w:r>
    </w:p>
    <w:p>
      <w:pPr>
        <w:pStyle w:val="ListBullet"/>
      </w:pPr>
      <w:r>
        <w:t>Final conflict-of-interest and funding confirmation.</w:t>
      </w:r>
    </w:p>
    <w:p>
      <w:pPr>
        <w:pStyle w:val="ListBullet"/>
      </w:pPr>
      <w:r>
        <w:t>Journal-specific abstract and manuscript word-count rules.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