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Cross-dataset Generalizability, Calibration Transfer, and Grad-CAM++ Failure-mode Analysis of Deep Learning Models for Multi-label Chest Radiograph Classification</w:t>
      </w:r>
    </w:p>
    <w:p>
      <w:pPr>
        <w:jc w:val="center"/>
      </w:pPr>
      <w:r>
        <w:rPr>
          <w:i/>
          <w:sz w:val="20"/>
        </w:rPr>
        <w:t>Retrospective public-dataset machine-learning validation study</w:t>
      </w:r>
    </w:p>
    <w:p>
      <w:r>
        <w:t>Short title: NIH-to-VinDr public-subset chest radiograph validation</w:t>
      </w:r>
    </w:p>
    <w:p>
      <w:r>
        <w:t>Word-count note: generated manuscript draft with embedded main tables and figures; journal-specific formatting can be applied after target selection.</w:t>
      </w:r>
    </w:p>
    <w:p>
      <w:pPr>
        <w:pStyle w:val="Heading1"/>
      </w:pPr>
      <w:r>
        <w:t>Abstract</w:t>
      </w:r>
    </w:p>
    <w:p>
      <w:r>
        <w:t>Background: Cross-dataset deployment of chest radiograph classifiers is limited by dataset shift, label-source heterogeneity, class imbalance, and imperfect probability calibration. Discrimination, calibration, and failure-mode explainability therefore need to be evaluated together rather than as isolated model-development outputs.</w:t>
      </w:r>
    </w:p>
    <w:p>
      <w:r>
        <w:t>Methods: We built a reproducible PyTorch pipeline using a selected NIH ChestX-ray14 public parquet subset as the development dataset and a VinDr-CXR/VinBigData-derived public PNG subset as independent external validation. The NIH subset contained 5000 images from 3795 patients and was split at patient level into training, validation, calibration, and internal-test partitions. The external subset contained 1000 images. DenseNet121 was prespecified as the main model; ResNet50 and EfficientNet-B0 were trained as architecture comparators. Per-label thresholds were selected only on NIH validation data, and temperature scaling, Platt scaling, and isotonic regression were fitted only on the NIH calibration split.</w:t>
      </w:r>
    </w:p>
    <w:p>
      <w:r>
        <w:t>Results: DenseNet121 achieved internal all-label macro AUROC/AUPRC of 0.680/0.214. For labels with nonzero external prevalence (Atelectasis; Cardiomegaly; Pleural Effusion; Pneumothorax; Consolidation; No Finding), external macro AUROC/AUPRC were 0.743/0.434; the corresponding NIH internal macro values on the same label set were 0.667/0.269. ResNet50 and EfficientNet-B0 showed external nonzero-prevalence macro AUROC/AUPRC of 0.728/0.418 and 0.656/0.370, respectively. DenseNet121 internal uncalibrated macro Brier score, ECE, MCE, slope, and intercept were 0.193, 0.269, 0.539, 0.633, and -2.285. Grad-CAM++ panels were generated for internal and external true-positive, false-positive, false-negative, and true-negative cases.</w:t>
      </w:r>
    </w:p>
    <w:p>
      <w:r>
        <w:t>Conclusions: The pipeline provides an auditable public-dataset framework for assessing chest radiograph classifier transfer, calibration transfer, and saliency-based failure modes. The findings support cautious public-subset validation reporting, but they do not establish full official-cohort performance or clinical readiness.</w:t>
      </w:r>
    </w:p>
    <w:p>
      <w:r>
        <w:t>Keywords: chest radiograph; external validation; calibration; dataset shift; Grad-CAM++; DenseNet; VinDr-CXR; NIH ChestX-ray14</w:t>
      </w:r>
    </w:p>
    <w:p>
      <w:pPr>
        <w:pStyle w:val="Heading1"/>
      </w:pPr>
      <w:r>
        <w:t>Introduction</w:t>
      </w:r>
    </w:p>
    <w:p>
      <w:r>
        <w:t>Deep-learning systems for chest radiograph diagnosis have been widely evaluated on public datasets, yet their apparent performance can depend strongly on dataset origin, label generation, acquisition workflow, and disease prevalence. A model that ranks cases acceptably in one dataset may not preserve discrimination, decision thresholds, or probability calibration after transfer to another dataset.</w:t>
      </w:r>
    </w:p>
    <w:p>
      <w:r>
        <w:t>This problem is especially relevant for public chest radiograph resources. NIH ChestX-ray14 labels are derived from radiology reports, whereas VinDr-CXR provides radiologist annotations. These differences create a practical test of cross-dataset transportability but also introduce label-source heterogeneity that must be acknowledged when interpreting performance.</w:t>
      </w:r>
    </w:p>
    <w:p>
      <w:r>
        <w:t>AUROC alone is insufficient in this setting. AUPRC better reflects positive-label prevalence for imbalanced findings, thresholded metrics are sensitive to the dataset used for threshold selection, and probability calibration determines whether predicted risks correspond to observed event frequencies. Explainability maps can reveal plausible failure modes, but they should not be used as proof of radiological reasoning.</w:t>
      </w:r>
    </w:p>
    <w:p>
      <w:r>
        <w:t>We therefore designed a reproducible public-subset study to evaluate three linked questions: how a DenseNet121 chest radiograph classifier transfers from NIH ChestX-ray14 to a VinDr-derived external subset, whether NIH-fitted calibration procedures transfer to internal and external test data, and what Grad-CAM++ panels show in representative correct and incorrect decisions.</w:t>
      </w:r>
    </w:p>
    <w:p>
      <w:r>
        <w:t>DenseNet121 was chosen as the prespecified main model because it is a common chest radiograph baseline and has been used extensively in medical-image classification. ResNet50 and EfficientNet-B0 were added as architecture comparators to reduce single-model dependence while preserving the same data splits, thresholds, and external-validation rules.</w:t>
      </w:r>
    </w:p>
    <w:p>
      <w:pPr>
        <w:pStyle w:val="Heading1"/>
      </w:pPr>
      <w:r>
        <w:t>Methods</w:t>
      </w:r>
    </w:p>
    <w:p>
      <w:pPr>
        <w:pStyle w:val="Heading2"/>
      </w:pPr>
      <w:r>
        <w:t>Study design</w:t>
      </w:r>
    </w:p>
    <w:p>
      <w:r>
        <w:t>This was a retrospective public-dataset machine-learning validation study. The development dataset was a selected NIH ChestX-ray14 public parquet subset. Independent external validation used a VinDr-CXR/VinBigData-derived public PNG subset. All results in this manuscript were computed from saved prediction CSV files and metric tables.</w:t>
      </w:r>
    </w:p>
    <w:p>
      <w:pPr>
        <w:pStyle w:val="Heading2"/>
      </w:pPr>
      <w:r>
        <w:t>Datasets</w:t>
      </w:r>
    </w:p>
    <w:p>
      <w:r>
        <w:t>The NIH development subset included 5000 images from 3795 patients. The external subset included 1000 images with image-level identifiers used as patient identifiers in the cached public subset. Dataset characteristics and split sizes are summarized in Table 1.</w:t>
      </w:r>
    </w:p>
    <w:p>
      <w:pPr>
        <w:pStyle w:val="Heading2"/>
      </w:pPr>
      <w:r>
        <w:t>Labels</w:t>
      </w:r>
    </w:p>
    <w:p>
      <w:r>
        <w:t>The harmonized label set included Atelectasis, Cardiomegaly, Pleural Effusion, Pneumothorax, Consolidation, Edema, Pneumonia, and No Finding. External discrimination claims were restricted to labels with both positive and negative cases in the analyzed external subset. Edema and Pneumonia had zero external positives and were retained only for internal or sensitivity-context reporting.</w:t>
      </w:r>
    </w:p>
    <w:p>
      <w:pPr>
        <w:pStyle w:val="Heading2"/>
      </w:pPr>
      <w:r>
        <w:t>Data splitting and leakage control</w:t>
      </w:r>
    </w:p>
    <w:p>
      <w:r>
        <w:t>NIH data were split at patient level into train, validation, calibration, and internal-test partitions. The validation split was used for threshold selection and checkpoint selection. The calibration split was used only for fitting calibration models. Internal-test and external data were not used for training, threshold optimization, checkpoint selection, or calibration fitting.</w:t>
      </w:r>
    </w:p>
    <w:p>
      <w:pPr>
        <w:pStyle w:val="Heading2"/>
      </w:pPr>
      <w:r>
        <w:t>Preprocessing</w:t>
      </w:r>
    </w:p>
    <w:p>
      <w:r>
        <w:t>Images were converted to three-channel tensors, resized to 224 x 224 pixels, normalized using ImageNet mean and standard deviation, and augmented during training using horizontal flipping and small rotations. The same deterministic preprocessing was used for internal and external evaluation.</w:t>
      </w:r>
    </w:p>
    <w:p>
      <w:pPr>
        <w:pStyle w:val="Heading2"/>
      </w:pPr>
      <w:r>
        <w:t>Models and training</w:t>
      </w:r>
    </w:p>
    <w:p>
      <w:r>
        <w:t>DenseNet121 was trained as the main model, with ResNet50 and EfficientNet-B0 as comparators. All models used ImageNet pretrained torchvision weights, BCEWithLogitsLoss with positive class weights, AdamW optimization, mixed precision when CUDA was available, and early stopping/checkpoint selection using validation macro AUPRC. The environment used Python 3.12.10, PyTorch 2.11.0+cu128, CUDA availability True, and GPU NVIDIA GeForce RTX 5060 Laptop GPU. Hyperparameters are listed in Supplementary Table 7.</w:t>
      </w:r>
    </w:p>
    <w:p>
      <w:pPr>
        <w:pStyle w:val="Heading2"/>
      </w:pPr>
      <w:r>
        <w:t>Thresholds and evaluation</w:t>
      </w:r>
    </w:p>
    <w:p>
      <w:r>
        <w:t>Per-label thresholds were selected by maximizing F1 on the NIH validation split. These thresholds were then applied unchanged to the NIH internal-test split and VinDr external subset. Metrics included AUROC, AUPRC, sensitivity, specificity, F1-score, accuracy, PPV, NPV, and macro/micro averages. Patient-level bootstrap resampling with 500 iterations was used for 95% confidence intervals.</w:t>
      </w:r>
    </w:p>
    <w:p>
      <w:pPr>
        <w:pStyle w:val="Heading2"/>
      </w:pPr>
      <w:r>
        <w:t>Calibration</w:t>
      </w:r>
    </w:p>
    <w:p>
      <w:r>
        <w:t>Temperature scaling, Platt scaling, and isotonic regression were fitted on the NIH calibration split only. Calibration transfer was evaluated on NIH internal-test and VinDr external predictions using Brier score, ECE, MCE, calibration slope, and calibration intercept. No calibration model was fitted on VinDr in the primary analysis.</w:t>
      </w:r>
    </w:p>
    <w:p>
      <w:pPr>
        <w:pStyle w:val="Heading2"/>
      </w:pPr>
      <w:r>
        <w:t>Explainability</w:t>
      </w:r>
    </w:p>
    <w:p>
      <w:r>
        <w:t>Grad-CAM++ heatmaps were generated for selected true-positive, false-positive, false-negative, and true-negative examples from internal and external test data. These heatmaps were used for qualitative failure-mode review and not as evidence of clinical reasoning or localization validity.</w:t>
      </w:r>
    </w:p>
    <w:p>
      <w:pPr>
        <w:pStyle w:val="Heading2"/>
      </w:pPr>
      <w:r>
        <w:t>Statistical analysis</w:t>
      </w:r>
    </w:p>
    <w:p>
      <w:r>
        <w:t>Macro discrimination was reported for all labels where calculable and separately for the external-evaluable label set. AUPRC baseline and lift were computed using observed label prevalence. Paired bootstrap model comparisons were reported descriptively rather than as confirmatory superiority tests.</w:t>
      </w:r>
    </w:p>
    <w:p>
      <w:pPr>
        <w:pStyle w:val="Heading1"/>
      </w:pPr>
      <w:r>
        <w:t>Results</w:t>
      </w:r>
    </w:p>
    <w:p>
      <w:r>
        <w:t>The NIH development subset contained 5000 images from 3795 patients. The patient-level split yielded 2679 training images, 831 validation images, 751 calibration images, and 739 internal-test images. The external validation subset contained 1000 images.</w:t>
      </w:r>
    </w:p>
    <w:p>
      <w:r>
        <w:t>DenseNet121 internal all-label macro AUROC/AUPRC were 0.680/0.214. On the external-evaluable label set, NIH internal macro AUROC/AUPRC were 0.667/0.269, whereas VinDr external macro AUROC/AUPRC were 0.743/0.434. The higher external AUPRC should be read in the context of label prevalence and selected subset composition rather than as proof of broadly improved generalization.</w:t>
      </w:r>
    </w:p>
    <w:p>
      <w:r>
        <w:t>Model comparison showed DenseNet121, ResNet50, and EfficientNet-B0 external nonzero-prevalence macro AUROC values of 0.743, 0.728, and 0.656, respectively. The paired bootstrap comparison favored DenseNet121 over ResNet50 for internal all-label AUROC, but most AUPRC and external-evaluable differences had confidence intervals crossing zero.</w:t>
      </w:r>
    </w:p>
    <w:p>
      <w:r>
        <w:t>Calibration metrics indicated imperfect probability scaling before post-hoc calibration. DenseNet121 internal uncalibrated macro Brier score, ECE, MCE, calibration slope, and intercept were 0.193, 0.269, 0.539, 0.633, and -2.285. On external data, the lowest macro ECE among NIH-fitted methods was 0.095 using isotonic scaling, but this should be interpreted with slope, intercept, and label prevalence.</w:t>
      </w:r>
    </w:p>
    <w:p>
      <w:r>
        <w:t>Grad-CAM++ examples were assembled for true-positive, false-positive, false-negative, and true-negative cases in NIH internal and VinDr external evaluation. Visual review suggested heterogeneous saliency patterns across errors, supporting their use as failure-mode illustrations rather than mechanistic explanations.</w:t>
      </w:r>
    </w:p>
    <w:p>
      <w:pPr>
        <w:pStyle w:val="Heading1"/>
      </w:pPr>
      <w:r>
        <w:t>Discussion</w:t>
      </w:r>
    </w:p>
    <w:p>
      <w:r>
        <w:t>This study provides an end-to-end public-dataset validation package for chest radiograph classification under dataset shift. The design deliberately separates model selection, threshold tuning, calibration fitting, internal testing, and external validation, which reduces several common sources of optimistic bias.</w:t>
      </w:r>
    </w:p>
    <w:p>
      <w:r>
        <w:t>The external macro AUPRC exceeded internal AUPRC on the external-evaluable label set. This observation is compatible with differences in prevalence and case mix; it should not be framed as evidence that the model generalizes better externally than internally. The AUPRC baseline/lift analysis was therefore included to anchor precision-recall performance to observed prevalence.</w:t>
      </w:r>
    </w:p>
    <w:p>
      <w:r>
        <w:t>Calibration transfer remained an important limitation. Post-hoc methods fitted on the NIH calibration split could reduce some bin-wise error estimates, but calibration slope and intercept showed that probability-scale behavior is not fully solved by a single scalar or monotonic mapping. External calibration results are best interpreted as transfer diagnostics.</w:t>
      </w:r>
    </w:p>
    <w:p>
      <w:r>
        <w:t>The architecture-comparison results show that the overall conclusions are not unique to DenseNet121. However, DenseNet121 remains the prespecified main model, and comparator differences are reported descriptively because the analysis was not designed as a definitive architecture-superiority trial.</w:t>
      </w:r>
    </w:p>
    <w:p>
      <w:r>
        <w:t>Grad-CAM++ panels can support reviewer inspection of false positives and false negatives, but they are not localization ground truth and do not validate model reasoning. Their proper role in this manuscript is failure-mode illustration, not clinical explanation.</w:t>
      </w:r>
    </w:p>
    <w:p>
      <w:r>
        <w:t>The practical contribution of this work is the reproducibility package: all splits, thresholds, predictions, metric tables, figures, model checkpoints, logs, environment files, and random seeds are available locally in a structured package. This makes the work auditable and easier to revise if a journal requests additional sensitivity analyses.</w:t>
      </w:r>
    </w:p>
    <w:p>
      <w:pPr>
        <w:pStyle w:val="Heading1"/>
      </w:pPr>
      <w:r>
        <w:t>Limitations</w:t>
      </w:r>
    </w:p>
    <w:p>
      <w:pPr>
        <w:pStyle w:val="ListBullet"/>
      </w:pPr>
      <w:r>
        <w:t>The analysis used executable public subsets, not the complete official NIH ChestX-ray14 or VinDr-CXR cohorts.</w:t>
      </w:r>
    </w:p>
    <w:p>
      <w:pPr>
        <w:pStyle w:val="ListBullet"/>
      </w:pPr>
      <w:r>
        <w:t>NIH labels and VinDr labels come from different annotation processes, making label-source heterogeneity unavoidable.</w:t>
      </w:r>
    </w:p>
    <w:p>
      <w:pPr>
        <w:pStyle w:val="ListBullet"/>
      </w:pPr>
      <w:r>
        <w:t>Edema and Pneumonia had zero external positives in the analyzed external subset and cannot support external discrimination claims.</w:t>
      </w:r>
    </w:p>
    <w:p>
      <w:pPr>
        <w:pStyle w:val="ListBullet"/>
      </w:pPr>
      <w:r>
        <w:t>Images were resized to 224 x 224 pixels; the study should not be described as a full-resolution clinical-performance benchmark.</w:t>
      </w:r>
    </w:p>
    <w:p>
      <w:pPr>
        <w:pStyle w:val="ListBullet"/>
      </w:pPr>
      <w:r>
        <w:t>The training schedule was intentionally compact and reproducible rather than tuned for maximum leaderboard performance.</w:t>
      </w:r>
    </w:p>
    <w:p>
      <w:pPr>
        <w:pStyle w:val="ListBullet"/>
      </w:pPr>
      <w:r>
        <w:t>External metadata did not support reliable demographic subgroup analysis in the cached subset.</w:t>
      </w:r>
    </w:p>
    <w:p>
      <w:pPr>
        <w:pStyle w:val="ListBullet"/>
      </w:pPr>
      <w:r>
        <w:t>Calibration was fitted internally and transferred externally; no external calibration fitting was performed in the primary analysis.</w:t>
      </w:r>
    </w:p>
    <w:p>
      <w:pPr>
        <w:pStyle w:val="ListBullet"/>
      </w:pPr>
      <w:r>
        <w:t>Grad-CAM++ was qualitative and was not validated against expert localization in the main analysis.</w:t>
      </w:r>
    </w:p>
    <w:p>
      <w:pPr>
        <w:pStyle w:val="Heading1"/>
      </w:pPr>
      <w:r>
        <w:t>Conclusion</w:t>
      </w:r>
    </w:p>
    <w:p>
      <w:r>
        <w:t>A reproducible NIH ChestX-ray14 to VinDr-derived public-subset pipeline was completed for multi-label chest radiograph classification. DenseNet121, ResNet50, and EfficientNet-B0 were evaluated with validation-derived thresholds, patient-level bootstrap confidence intervals, NIH-only calibration fitting, and Grad-CAM++ failure-mode review. The study supports transparent public-dataset reporting of discrimination, calibration transfer, and qualitative saliency behavior, while avoiding claims of clinical readiness.</w:t>
      </w:r>
    </w:p>
    <w:p>
      <w:pPr>
        <w:pStyle w:val="Heading1"/>
      </w:pPr>
      <w:r>
        <w:t>Data and Code Availability</w:t>
      </w:r>
    </w:p>
    <w:p>
      <w:r>
        <w:t>The reproducibility package contains split CSVs, label mapping, prediction CSVs, calibration outputs, figure source data, model checkpoints, training logs, package versions, random seeds, GPU information, and rerun commands. Original images and labels derive from public NIH ChestX-ray14 and VinDr-CXR/VinBigData-derived resources; users should follow each dataset's source license and citation requirements.</w:t>
      </w:r>
    </w:p>
    <w:p>
      <w:pPr>
        <w:pStyle w:val="Heading1"/>
      </w:pPr>
      <w:r>
        <w:t>Ethics Statement</w:t>
      </w:r>
    </w:p>
    <w:p>
      <w:r>
        <w:t>This study used de-identified public datasets and did not involve new patient recruitment, intervention, or direct patient contact. Local institutional review-board exemption requirements should be confirmed before journal submission.</w:t>
      </w:r>
    </w:p>
    <w:p>
      <w:pPr>
        <w:pStyle w:val="Heading1"/>
      </w:pPr>
      <w:r>
        <w:t>Main Tables</w:t>
      </w:r>
    </w:p>
    <w:p>
      <w:pPr>
        <w:pStyle w:val="Heading2"/>
      </w:pPr>
      <w:r>
        <w:t>Table 1. Dataset characteristics and split roles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r>
              <w:rPr>
                <w:rFonts w:ascii="Arial" w:hAnsi="Arial"/>
                <w:b/>
                <w:sz w:val="16"/>
              </w:rPr>
              <w:t>dataset</w:t>
            </w:r>
          </w:p>
        </w:tc>
        <w:tc>
          <w:tcPr>
            <w:tcW w:type="dxa" w:w="1694"/>
            <w:vAlign w:val="center"/>
            <w:shd w:fill="D9EAF7"/>
          </w:tcPr>
          <w:p>
            <w:r>
              <w:rPr>
                <w:rFonts w:ascii="Arial" w:hAnsi="Arial"/>
                <w:b/>
                <w:sz w:val="16"/>
              </w:rPr>
              <w:t>role</w:t>
            </w:r>
          </w:p>
        </w:tc>
        <w:tc>
          <w:tcPr>
            <w:tcW w:type="dxa" w:w="1694"/>
            <w:vAlign w:val="center"/>
            <w:shd w:fill="D9EAF7"/>
          </w:tcPr>
          <w:p>
            <w:r>
              <w:rPr>
                <w:rFonts w:ascii="Arial" w:hAnsi="Arial"/>
                <w:b/>
                <w:sz w:val="16"/>
              </w:rPr>
              <w:t>split</w:t>
            </w:r>
          </w:p>
        </w:tc>
        <w:tc>
          <w:tcPr>
            <w:tcW w:type="dxa" w:w="1694"/>
            <w:vAlign w:val="center"/>
            <w:shd w:fill="D9EAF7"/>
          </w:tcPr>
          <w:p>
            <w:r>
              <w:rPr>
                <w:rFonts w:ascii="Arial" w:hAnsi="Arial"/>
                <w:b/>
                <w:sz w:val="16"/>
              </w:rPr>
              <w:t>n_images</w:t>
            </w:r>
          </w:p>
        </w:tc>
        <w:tc>
          <w:tcPr>
            <w:tcW w:type="dxa" w:w="1694"/>
            <w:vAlign w:val="center"/>
            <w:shd w:fill="D9EAF7"/>
          </w:tcPr>
          <w:p>
            <w:r>
              <w:rPr>
                <w:rFonts w:ascii="Arial" w:hAnsi="Arial"/>
                <w:b/>
                <w:sz w:val="16"/>
              </w:rPr>
              <w:t>n_patients</w:t>
            </w:r>
          </w:p>
        </w:tc>
        <w:tc>
          <w:tcPr>
            <w:tcW w:type="dxa" w:w="1694"/>
            <w:vAlign w:val="center"/>
            <w:shd w:fill="D9EAF7"/>
          </w:tcPr>
          <w:p>
            <w:r>
              <w:rPr>
                <w:rFonts w:ascii="Arial" w:hAnsi="Arial"/>
                <w:b/>
                <w:sz w:val="16"/>
              </w:rPr>
              <w:t>patient_level_split</w:t>
            </w:r>
          </w:p>
        </w:tc>
      </w:tr>
      <w:tr>
        <w:tc>
          <w:tcPr>
            <w:tcW w:type="dxa" w:w="1694"/>
            <w:vAlign w:val="center"/>
          </w:tcPr>
          <w:p>
            <w:r>
              <w:rPr>
                <w:rFonts w:ascii="Arial" w:hAnsi="Arial"/>
                <w:sz w:val="16"/>
              </w:rPr>
              <w:t>NIH ChestX-ray14 public parquet subset</w:t>
            </w:r>
          </w:p>
        </w:tc>
        <w:tc>
          <w:tcPr>
            <w:tcW w:type="dxa" w:w="1694"/>
            <w:vAlign w:val="center"/>
          </w:tcPr>
          <w:p>
            <w:r>
              <w:rPr>
                <w:rFonts w:ascii="Arial" w:hAnsi="Arial"/>
                <w:sz w:val="16"/>
              </w:rPr>
              <w:t>development</w:t>
            </w:r>
          </w:p>
        </w:tc>
        <w:tc>
          <w:tcPr>
            <w:tcW w:type="dxa" w:w="1694"/>
            <w:vAlign w:val="center"/>
          </w:tcPr>
          <w:p>
            <w:r>
              <w:rPr>
                <w:rFonts w:ascii="Arial" w:hAnsi="Arial"/>
                <w:sz w:val="16"/>
              </w:rPr>
              <w:t>overall</w:t>
            </w:r>
          </w:p>
        </w:tc>
        <w:tc>
          <w:tcPr>
            <w:tcW w:type="dxa" w:w="1694"/>
            <w:vAlign w:val="center"/>
          </w:tcPr>
          <w:p>
            <w:r>
              <w:rPr>
                <w:rFonts w:ascii="Arial" w:hAnsi="Arial"/>
                <w:sz w:val="16"/>
              </w:rPr>
              <w:t>5000</w:t>
            </w:r>
          </w:p>
        </w:tc>
        <w:tc>
          <w:tcPr>
            <w:tcW w:type="dxa" w:w="1694"/>
            <w:vAlign w:val="center"/>
          </w:tcPr>
          <w:p>
            <w:r>
              <w:rPr>
                <w:rFonts w:ascii="Arial" w:hAnsi="Arial"/>
                <w:sz w:val="16"/>
              </w:rPr>
              <w:t>3795</w:t>
            </w:r>
          </w:p>
        </w:tc>
        <w:tc>
          <w:tcPr>
            <w:tcW w:type="dxa" w:w="1694"/>
            <w:vAlign w:val="center"/>
          </w:tcPr>
          <w:p>
            <w:r>
              <w:rPr>
                <w:rFonts w:ascii="Arial" w:hAnsi="Arial"/>
                <w:sz w:val="16"/>
              </w:rPr>
              <w:t>yes</w:t>
            </w:r>
          </w:p>
        </w:tc>
      </w:tr>
      <w:tr>
        <w:tc>
          <w:tcPr>
            <w:tcW w:type="dxa" w:w="1694"/>
            <w:vAlign w:val="center"/>
          </w:tcPr>
          <w:p>
            <w:r>
              <w:rPr>
                <w:rFonts w:ascii="Arial" w:hAnsi="Arial"/>
                <w:sz w:val="16"/>
              </w:rPr>
              <w:t>NIH ChestX-ray14 public parquet subset</w:t>
            </w:r>
          </w:p>
        </w:tc>
        <w:tc>
          <w:tcPr>
            <w:tcW w:type="dxa" w:w="1694"/>
            <w:vAlign w:val="center"/>
          </w:tcPr>
          <w:p>
            <w:r>
              <w:rPr>
                <w:rFonts w:ascii="Arial" w:hAnsi="Arial"/>
                <w:sz w:val="16"/>
              </w:rPr>
              <w:t>development</w:t>
            </w:r>
          </w:p>
        </w:tc>
        <w:tc>
          <w:tcPr>
            <w:tcW w:type="dxa" w:w="1694"/>
            <w:vAlign w:val="center"/>
          </w:tcPr>
          <w:p>
            <w:r>
              <w:rPr>
                <w:rFonts w:ascii="Arial" w:hAnsi="Arial"/>
                <w:sz w:val="16"/>
              </w:rPr>
              <w:t>calibration</w:t>
            </w:r>
          </w:p>
        </w:tc>
        <w:tc>
          <w:tcPr>
            <w:tcW w:type="dxa" w:w="1694"/>
            <w:vAlign w:val="center"/>
          </w:tcPr>
          <w:p>
            <w:r>
              <w:rPr>
                <w:rFonts w:ascii="Arial" w:hAnsi="Arial"/>
                <w:sz w:val="16"/>
              </w:rPr>
              <w:t>751</w:t>
            </w:r>
          </w:p>
        </w:tc>
        <w:tc>
          <w:tcPr>
            <w:tcW w:type="dxa" w:w="1694"/>
            <w:vAlign w:val="center"/>
          </w:tcPr>
          <w:p>
            <w:r>
              <w:rPr>
                <w:rFonts w:ascii="Arial" w:hAnsi="Arial"/>
                <w:sz w:val="16"/>
              </w:rPr>
              <w:t>379</w:t>
            </w:r>
          </w:p>
        </w:tc>
        <w:tc>
          <w:tcPr>
            <w:tcW w:type="dxa" w:w="1694"/>
            <w:vAlign w:val="center"/>
          </w:tcPr>
          <w:p>
            <w:r>
              <w:rPr>
                <w:rFonts w:ascii="Arial" w:hAnsi="Arial"/>
                <w:sz w:val="16"/>
              </w:rPr>
              <w:t>yes</w:t>
            </w:r>
          </w:p>
        </w:tc>
      </w:tr>
      <w:tr>
        <w:tc>
          <w:tcPr>
            <w:tcW w:type="dxa" w:w="1694"/>
            <w:vAlign w:val="center"/>
          </w:tcPr>
          <w:p>
            <w:r>
              <w:rPr>
                <w:rFonts w:ascii="Arial" w:hAnsi="Arial"/>
                <w:sz w:val="16"/>
              </w:rPr>
              <w:t>NIH ChestX-ray14 public parquet subset</w:t>
            </w:r>
          </w:p>
        </w:tc>
        <w:tc>
          <w:tcPr>
            <w:tcW w:type="dxa" w:w="1694"/>
            <w:vAlign w:val="center"/>
          </w:tcPr>
          <w:p>
            <w:r>
              <w:rPr>
                <w:rFonts w:ascii="Arial" w:hAnsi="Arial"/>
                <w:sz w:val="16"/>
              </w:rPr>
              <w:t>development</w:t>
            </w:r>
          </w:p>
        </w:tc>
        <w:tc>
          <w:tcPr>
            <w:tcW w:type="dxa" w:w="1694"/>
            <w:vAlign w:val="center"/>
          </w:tcPr>
          <w:p>
            <w:r>
              <w:rPr>
                <w:rFonts w:ascii="Arial" w:hAnsi="Arial"/>
                <w:sz w:val="16"/>
              </w:rPr>
              <w:t>internal_test</w:t>
            </w:r>
          </w:p>
        </w:tc>
        <w:tc>
          <w:tcPr>
            <w:tcW w:type="dxa" w:w="1694"/>
            <w:vAlign w:val="center"/>
          </w:tcPr>
          <w:p>
            <w:r>
              <w:rPr>
                <w:rFonts w:ascii="Arial" w:hAnsi="Arial"/>
                <w:sz w:val="16"/>
              </w:rPr>
              <w:t>739</w:t>
            </w:r>
          </w:p>
        </w:tc>
        <w:tc>
          <w:tcPr>
            <w:tcW w:type="dxa" w:w="1694"/>
            <w:vAlign w:val="center"/>
          </w:tcPr>
          <w:p>
            <w:r>
              <w:rPr>
                <w:rFonts w:ascii="Arial" w:hAnsi="Arial"/>
                <w:sz w:val="16"/>
              </w:rPr>
              <w:t>379</w:t>
            </w:r>
          </w:p>
        </w:tc>
        <w:tc>
          <w:tcPr>
            <w:tcW w:type="dxa" w:w="1694"/>
            <w:vAlign w:val="center"/>
          </w:tcPr>
          <w:p>
            <w:r>
              <w:rPr>
                <w:rFonts w:ascii="Arial" w:hAnsi="Arial"/>
                <w:sz w:val="16"/>
              </w:rPr>
              <w:t>yes</w:t>
            </w:r>
          </w:p>
        </w:tc>
      </w:tr>
      <w:tr>
        <w:tc>
          <w:tcPr>
            <w:tcW w:type="dxa" w:w="1694"/>
            <w:vAlign w:val="center"/>
          </w:tcPr>
          <w:p>
            <w:r>
              <w:rPr>
                <w:rFonts w:ascii="Arial" w:hAnsi="Arial"/>
                <w:sz w:val="16"/>
              </w:rPr>
              <w:t>NIH ChestX-ray14 public parquet subset</w:t>
            </w:r>
          </w:p>
        </w:tc>
        <w:tc>
          <w:tcPr>
            <w:tcW w:type="dxa" w:w="1694"/>
            <w:vAlign w:val="center"/>
          </w:tcPr>
          <w:p>
            <w:r>
              <w:rPr>
                <w:rFonts w:ascii="Arial" w:hAnsi="Arial"/>
                <w:sz w:val="16"/>
              </w:rPr>
              <w:t>development</w:t>
            </w:r>
          </w:p>
        </w:tc>
        <w:tc>
          <w:tcPr>
            <w:tcW w:type="dxa" w:w="1694"/>
            <w:vAlign w:val="center"/>
          </w:tcPr>
          <w:p>
            <w:r>
              <w:rPr>
                <w:rFonts w:ascii="Arial" w:hAnsi="Arial"/>
                <w:sz w:val="16"/>
              </w:rPr>
              <w:t>train</w:t>
            </w:r>
          </w:p>
        </w:tc>
        <w:tc>
          <w:tcPr>
            <w:tcW w:type="dxa" w:w="1694"/>
            <w:vAlign w:val="center"/>
          </w:tcPr>
          <w:p>
            <w:r>
              <w:rPr>
                <w:rFonts w:ascii="Arial" w:hAnsi="Arial"/>
                <w:sz w:val="16"/>
              </w:rPr>
              <w:t>2679</w:t>
            </w:r>
          </w:p>
        </w:tc>
        <w:tc>
          <w:tcPr>
            <w:tcW w:type="dxa" w:w="1694"/>
            <w:vAlign w:val="center"/>
          </w:tcPr>
          <w:p>
            <w:r>
              <w:rPr>
                <w:rFonts w:ascii="Arial" w:hAnsi="Arial"/>
                <w:sz w:val="16"/>
              </w:rPr>
              <w:t>2657</w:t>
            </w:r>
          </w:p>
        </w:tc>
        <w:tc>
          <w:tcPr>
            <w:tcW w:type="dxa" w:w="1694"/>
            <w:vAlign w:val="center"/>
          </w:tcPr>
          <w:p>
            <w:r>
              <w:rPr>
                <w:rFonts w:ascii="Arial" w:hAnsi="Arial"/>
                <w:sz w:val="16"/>
              </w:rPr>
              <w:t>yes</w:t>
            </w:r>
          </w:p>
        </w:tc>
      </w:tr>
      <w:tr>
        <w:tc>
          <w:tcPr>
            <w:tcW w:type="dxa" w:w="1694"/>
            <w:vAlign w:val="center"/>
          </w:tcPr>
          <w:p>
            <w:r>
              <w:rPr>
                <w:rFonts w:ascii="Arial" w:hAnsi="Arial"/>
                <w:sz w:val="16"/>
              </w:rPr>
              <w:t>NIH ChestX-ray14 public parquet subset</w:t>
            </w:r>
          </w:p>
        </w:tc>
        <w:tc>
          <w:tcPr>
            <w:tcW w:type="dxa" w:w="1694"/>
            <w:vAlign w:val="center"/>
          </w:tcPr>
          <w:p>
            <w:r>
              <w:rPr>
                <w:rFonts w:ascii="Arial" w:hAnsi="Arial"/>
                <w:sz w:val="16"/>
              </w:rPr>
              <w:t>development</w:t>
            </w:r>
          </w:p>
        </w:tc>
        <w:tc>
          <w:tcPr>
            <w:tcW w:type="dxa" w:w="1694"/>
            <w:vAlign w:val="center"/>
          </w:tcPr>
          <w:p>
            <w:r>
              <w:rPr>
                <w:rFonts w:ascii="Arial" w:hAnsi="Arial"/>
                <w:sz w:val="16"/>
              </w:rPr>
              <w:t>validation</w:t>
            </w:r>
          </w:p>
        </w:tc>
        <w:tc>
          <w:tcPr>
            <w:tcW w:type="dxa" w:w="1694"/>
            <w:vAlign w:val="center"/>
          </w:tcPr>
          <w:p>
            <w:r>
              <w:rPr>
                <w:rFonts w:ascii="Arial" w:hAnsi="Arial"/>
                <w:sz w:val="16"/>
              </w:rPr>
              <w:t>831</w:t>
            </w:r>
          </w:p>
        </w:tc>
        <w:tc>
          <w:tcPr>
            <w:tcW w:type="dxa" w:w="1694"/>
            <w:vAlign w:val="center"/>
          </w:tcPr>
          <w:p>
            <w:r>
              <w:rPr>
                <w:rFonts w:ascii="Arial" w:hAnsi="Arial"/>
                <w:sz w:val="16"/>
              </w:rPr>
              <w:t>380</w:t>
            </w:r>
          </w:p>
        </w:tc>
        <w:tc>
          <w:tcPr>
            <w:tcW w:type="dxa" w:w="1694"/>
            <w:vAlign w:val="center"/>
          </w:tcPr>
          <w:p>
            <w:r>
              <w:rPr>
                <w:rFonts w:ascii="Arial" w:hAnsi="Arial"/>
                <w:sz w:val="16"/>
              </w:rPr>
              <w:t>yes</w:t>
            </w:r>
          </w:p>
        </w:tc>
      </w:tr>
      <w:tr>
        <w:tc>
          <w:tcPr>
            <w:tcW w:type="dxa" w:w="1694"/>
            <w:vAlign w:val="center"/>
          </w:tcPr>
          <w:p>
            <w:r>
              <w:rPr>
                <w:rFonts w:ascii="Arial" w:hAnsi="Arial"/>
                <w:sz w:val="16"/>
              </w:rPr>
              <w:t>VinDr-CXR/VinBigData-derived public PNG subset</w:t>
            </w:r>
          </w:p>
        </w:tc>
        <w:tc>
          <w:tcPr>
            <w:tcW w:type="dxa" w:w="1694"/>
            <w:vAlign w:val="center"/>
          </w:tcPr>
          <w:p>
            <w:r>
              <w:rPr>
                <w:rFonts w:ascii="Arial" w:hAnsi="Arial"/>
                <w:sz w:val="16"/>
              </w:rPr>
              <w:t>independent external validation</w:t>
            </w:r>
          </w:p>
        </w:tc>
        <w:tc>
          <w:tcPr>
            <w:tcW w:type="dxa" w:w="1694"/>
            <w:vAlign w:val="center"/>
          </w:tcPr>
          <w:p>
            <w:r>
              <w:rPr>
                <w:rFonts w:ascii="Arial" w:hAnsi="Arial"/>
                <w:sz w:val="16"/>
              </w:rPr>
              <w:t>external</w:t>
            </w:r>
          </w:p>
        </w:tc>
        <w:tc>
          <w:tcPr>
            <w:tcW w:type="dxa" w:w="1694"/>
            <w:vAlign w:val="center"/>
          </w:tcPr>
          <w:p>
            <w:r>
              <w:rPr>
                <w:rFonts w:ascii="Arial" w:hAnsi="Arial"/>
                <w:sz w:val="16"/>
              </w:rPr>
              <w:t>1000</w:t>
            </w:r>
          </w:p>
        </w:tc>
        <w:tc>
          <w:tcPr>
            <w:tcW w:type="dxa" w:w="1694"/>
            <w:vAlign w:val="center"/>
          </w:tcPr>
          <w:p>
            <w:r>
              <w:rPr>
                <w:rFonts w:ascii="Arial" w:hAnsi="Arial"/>
                <w:sz w:val="16"/>
              </w:rPr>
              <w:t>1000</w:t>
            </w:r>
          </w:p>
        </w:tc>
        <w:tc>
          <w:tcPr>
            <w:tcW w:type="dxa" w:w="1694"/>
            <w:vAlign w:val="center"/>
          </w:tcPr>
          <w:p>
            <w:r>
              <w:rPr>
                <w:rFonts w:ascii="Arial" w:hAnsi="Arial"/>
                <w:sz w:val="16"/>
              </w:rPr>
              <w:t>not applicable</w:t>
            </w:r>
          </w:p>
        </w:tc>
      </w:tr>
    </w:tbl>
    <w:p>
      <w:pPr>
        <w:pStyle w:val="Heading2"/>
      </w:pPr>
      <w:r>
        <w:t>Table 2. Label harmonization and analysis role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Pr>
                <w:rFonts w:ascii="Arial" w:hAnsi="Arial"/>
                <w:b/>
                <w:sz w:val="16"/>
              </w:rPr>
              <w:t>harmonized_label</w:t>
            </w:r>
          </w:p>
        </w:tc>
        <w:tc>
          <w:tcPr>
            <w:tcW w:type="dxa" w:w="2033"/>
            <w:vAlign w:val="center"/>
            <w:shd w:fill="D9EAF7"/>
          </w:tcPr>
          <w:p>
            <w:r>
              <w:rPr>
                <w:rFonts w:ascii="Arial" w:hAnsi="Arial"/>
                <w:b/>
                <w:sz w:val="16"/>
              </w:rPr>
              <w:t>analysis_role</w:t>
            </w:r>
          </w:p>
        </w:tc>
        <w:tc>
          <w:tcPr>
            <w:tcW w:type="dxa" w:w="2033"/>
            <w:vAlign w:val="center"/>
            <w:shd w:fill="D9EAF7"/>
          </w:tcPr>
          <w:p>
            <w:r>
              <w:rPr>
                <w:rFonts w:ascii="Arial" w:hAnsi="Arial"/>
                <w:b/>
                <w:sz w:val="16"/>
              </w:rPr>
              <w:t>external_positives_in_analyzed_subset</w:t>
            </w:r>
          </w:p>
        </w:tc>
        <w:tc>
          <w:tcPr>
            <w:tcW w:type="dxa" w:w="2033"/>
            <w:vAlign w:val="center"/>
            <w:shd w:fill="D9EAF7"/>
          </w:tcPr>
          <w:p>
            <w:r>
              <w:rPr>
                <w:rFonts w:ascii="Arial" w:hAnsi="Arial"/>
                <w:b/>
                <w:sz w:val="16"/>
              </w:rPr>
              <w:t>external_evaluable_for_auc_pr</w:t>
            </w:r>
          </w:p>
        </w:tc>
        <w:tc>
          <w:tcPr>
            <w:tcW w:type="dxa" w:w="2033"/>
            <w:vAlign w:val="center"/>
            <w:shd w:fill="D9EAF7"/>
          </w:tcPr>
          <w:p>
            <w:r>
              <w:rPr>
                <w:rFonts w:ascii="Arial" w:hAnsi="Arial"/>
                <w:b/>
                <w:sz w:val="16"/>
              </w:rPr>
              <w:t>caution</w:t>
            </w:r>
          </w:p>
        </w:tc>
      </w:tr>
      <w:tr>
        <w:tc>
          <w:tcPr>
            <w:tcW w:type="dxa" w:w="2033"/>
            <w:vAlign w:val="center"/>
          </w:tcPr>
          <w:p>
            <w:r>
              <w:rPr>
                <w:rFonts w:ascii="Arial" w:hAnsi="Arial"/>
                <w:sz w:val="16"/>
              </w:rPr>
              <w:t>Atelectasis</w:t>
            </w:r>
          </w:p>
        </w:tc>
        <w:tc>
          <w:tcPr>
            <w:tcW w:type="dxa" w:w="2033"/>
            <w:vAlign w:val="center"/>
          </w:tcPr>
          <w:p>
            <w:r>
              <w:rPr>
                <w:rFonts w:ascii="Arial" w:hAnsi="Arial"/>
                <w:sz w:val="16"/>
              </w:rPr>
              <w:t>primary; external-evaluable</w:t>
            </w:r>
          </w:p>
        </w:tc>
        <w:tc>
          <w:tcPr>
            <w:tcW w:type="dxa" w:w="2033"/>
            <w:vAlign w:val="center"/>
          </w:tcPr>
          <w:p>
            <w:r>
              <w:rPr>
                <w:rFonts w:ascii="Arial" w:hAnsi="Arial"/>
                <w:sz w:val="16"/>
              </w:rPr>
              <w:t>131</w:t>
            </w:r>
          </w:p>
        </w:tc>
        <w:tc>
          <w:tcPr>
            <w:tcW w:type="dxa" w:w="2033"/>
            <w:vAlign w:val="center"/>
          </w:tcPr>
          <w:p>
            <w:r>
              <w:rPr>
                <w:rFonts w:ascii="Arial" w:hAnsi="Arial"/>
                <w:sz w:val="16"/>
              </w:rPr>
              <w:t>True</w:t>
            </w:r>
          </w:p>
        </w:tc>
        <w:tc>
          <w:tcPr>
            <w:tcW w:type="dxa" w:w="2033"/>
            <w:vAlign w:val="center"/>
          </w:tcPr>
          <w:p>
            <w:r>
              <w:rPr>
                <w:rFonts w:ascii="Arial" w:hAnsi="Arial"/>
                <w:sz w:val="16"/>
              </w:rPr>
              <w:t>NA</w:t>
            </w:r>
          </w:p>
        </w:tc>
      </w:tr>
      <w:tr>
        <w:tc>
          <w:tcPr>
            <w:tcW w:type="dxa" w:w="2033"/>
            <w:vAlign w:val="center"/>
          </w:tcPr>
          <w:p>
            <w:r>
              <w:rPr>
                <w:rFonts w:ascii="Arial" w:hAnsi="Arial"/>
                <w:sz w:val="16"/>
              </w:rPr>
              <w:t>Cardiomegaly</w:t>
            </w:r>
          </w:p>
        </w:tc>
        <w:tc>
          <w:tcPr>
            <w:tcW w:type="dxa" w:w="2033"/>
            <w:vAlign w:val="center"/>
          </w:tcPr>
          <w:p>
            <w:r>
              <w:rPr>
                <w:rFonts w:ascii="Arial" w:hAnsi="Arial"/>
                <w:sz w:val="16"/>
              </w:rPr>
              <w:t>primary; external-evaluable</w:t>
            </w:r>
          </w:p>
        </w:tc>
        <w:tc>
          <w:tcPr>
            <w:tcW w:type="dxa" w:w="2033"/>
            <w:vAlign w:val="center"/>
          </w:tcPr>
          <w:p>
            <w:r>
              <w:rPr>
                <w:rFonts w:ascii="Arial" w:hAnsi="Arial"/>
                <w:sz w:val="16"/>
              </w:rPr>
              <w:t>276</w:t>
            </w:r>
          </w:p>
        </w:tc>
        <w:tc>
          <w:tcPr>
            <w:tcW w:type="dxa" w:w="2033"/>
            <w:vAlign w:val="center"/>
          </w:tcPr>
          <w:p>
            <w:r>
              <w:rPr>
                <w:rFonts w:ascii="Arial" w:hAnsi="Arial"/>
                <w:sz w:val="16"/>
              </w:rPr>
              <w:t>True</w:t>
            </w:r>
          </w:p>
        </w:tc>
        <w:tc>
          <w:tcPr>
            <w:tcW w:type="dxa" w:w="2033"/>
            <w:vAlign w:val="center"/>
          </w:tcPr>
          <w:p>
            <w:r>
              <w:rPr>
                <w:rFonts w:ascii="Arial" w:hAnsi="Arial"/>
                <w:sz w:val="16"/>
              </w:rPr>
              <w:t>NA</w:t>
            </w:r>
          </w:p>
        </w:tc>
      </w:tr>
      <w:tr>
        <w:tc>
          <w:tcPr>
            <w:tcW w:type="dxa" w:w="2033"/>
            <w:vAlign w:val="center"/>
          </w:tcPr>
          <w:p>
            <w:r>
              <w:rPr>
                <w:rFonts w:ascii="Arial" w:hAnsi="Arial"/>
                <w:sz w:val="16"/>
              </w:rPr>
              <w:t>Pleural Effusion</w:t>
            </w:r>
          </w:p>
        </w:tc>
        <w:tc>
          <w:tcPr>
            <w:tcW w:type="dxa" w:w="2033"/>
            <w:vAlign w:val="center"/>
          </w:tcPr>
          <w:p>
            <w:r>
              <w:rPr>
                <w:rFonts w:ascii="Arial" w:hAnsi="Arial"/>
                <w:sz w:val="16"/>
              </w:rPr>
              <w:t>primary; external-evaluable</w:t>
            </w:r>
          </w:p>
        </w:tc>
        <w:tc>
          <w:tcPr>
            <w:tcW w:type="dxa" w:w="2033"/>
            <w:vAlign w:val="center"/>
          </w:tcPr>
          <w:p>
            <w:r>
              <w:rPr>
                <w:rFonts w:ascii="Arial" w:hAnsi="Arial"/>
                <w:sz w:val="16"/>
              </w:rPr>
              <w:t>288</w:t>
            </w:r>
          </w:p>
        </w:tc>
        <w:tc>
          <w:tcPr>
            <w:tcW w:type="dxa" w:w="2033"/>
            <w:vAlign w:val="center"/>
          </w:tcPr>
          <w:p>
            <w:r>
              <w:rPr>
                <w:rFonts w:ascii="Arial" w:hAnsi="Arial"/>
                <w:sz w:val="16"/>
              </w:rPr>
              <w:t>True</w:t>
            </w:r>
          </w:p>
        </w:tc>
        <w:tc>
          <w:tcPr>
            <w:tcW w:type="dxa" w:w="2033"/>
            <w:vAlign w:val="center"/>
          </w:tcPr>
          <w:p>
            <w:r>
              <w:rPr>
                <w:rFonts w:ascii="Arial" w:hAnsi="Arial"/>
                <w:sz w:val="16"/>
              </w:rPr>
              <w:t>NA</w:t>
            </w:r>
          </w:p>
        </w:tc>
      </w:tr>
      <w:tr>
        <w:tc>
          <w:tcPr>
            <w:tcW w:type="dxa" w:w="2033"/>
            <w:vAlign w:val="center"/>
          </w:tcPr>
          <w:p>
            <w:r>
              <w:rPr>
                <w:rFonts w:ascii="Arial" w:hAnsi="Arial"/>
                <w:sz w:val="16"/>
              </w:rPr>
              <w:t>Pneumothorax</w:t>
            </w:r>
          </w:p>
        </w:tc>
        <w:tc>
          <w:tcPr>
            <w:tcW w:type="dxa" w:w="2033"/>
            <w:vAlign w:val="center"/>
          </w:tcPr>
          <w:p>
            <w:r>
              <w:rPr>
                <w:rFonts w:ascii="Arial" w:hAnsi="Arial"/>
                <w:sz w:val="16"/>
              </w:rPr>
              <w:t>primary; external-evaluable</w:t>
            </w:r>
          </w:p>
        </w:tc>
        <w:tc>
          <w:tcPr>
            <w:tcW w:type="dxa" w:w="2033"/>
            <w:vAlign w:val="center"/>
          </w:tcPr>
          <w:p>
            <w:r>
              <w:rPr>
                <w:rFonts w:ascii="Arial" w:hAnsi="Arial"/>
                <w:sz w:val="16"/>
              </w:rPr>
              <w:t>59</w:t>
            </w:r>
          </w:p>
        </w:tc>
        <w:tc>
          <w:tcPr>
            <w:tcW w:type="dxa" w:w="2033"/>
            <w:vAlign w:val="center"/>
          </w:tcPr>
          <w:p>
            <w:r>
              <w:rPr>
                <w:rFonts w:ascii="Arial" w:hAnsi="Arial"/>
                <w:sz w:val="16"/>
              </w:rPr>
              <w:t>True</w:t>
            </w:r>
          </w:p>
        </w:tc>
        <w:tc>
          <w:tcPr>
            <w:tcW w:type="dxa" w:w="2033"/>
            <w:vAlign w:val="center"/>
          </w:tcPr>
          <w:p>
            <w:r>
              <w:rPr>
                <w:rFonts w:ascii="Arial" w:hAnsi="Arial"/>
                <w:sz w:val="16"/>
              </w:rPr>
              <w:t>NA</w:t>
            </w:r>
          </w:p>
        </w:tc>
      </w:tr>
      <w:tr>
        <w:tc>
          <w:tcPr>
            <w:tcW w:type="dxa" w:w="2033"/>
            <w:vAlign w:val="center"/>
          </w:tcPr>
          <w:p>
            <w:r>
              <w:rPr>
                <w:rFonts w:ascii="Arial" w:hAnsi="Arial"/>
                <w:sz w:val="16"/>
              </w:rPr>
              <w:t>Consolidation</w:t>
            </w:r>
          </w:p>
        </w:tc>
        <w:tc>
          <w:tcPr>
            <w:tcW w:type="dxa" w:w="2033"/>
            <w:vAlign w:val="center"/>
          </w:tcPr>
          <w:p>
            <w:r>
              <w:rPr>
                <w:rFonts w:ascii="Arial" w:hAnsi="Arial"/>
                <w:sz w:val="16"/>
              </w:rPr>
              <w:t>primary; external-evaluable</w:t>
            </w:r>
          </w:p>
        </w:tc>
        <w:tc>
          <w:tcPr>
            <w:tcW w:type="dxa" w:w="2033"/>
            <w:vAlign w:val="center"/>
          </w:tcPr>
          <w:p>
            <w:r>
              <w:rPr>
                <w:rFonts w:ascii="Arial" w:hAnsi="Arial"/>
                <w:sz w:val="16"/>
              </w:rPr>
              <w:t>175</w:t>
            </w:r>
          </w:p>
        </w:tc>
        <w:tc>
          <w:tcPr>
            <w:tcW w:type="dxa" w:w="2033"/>
            <w:vAlign w:val="center"/>
          </w:tcPr>
          <w:p>
            <w:r>
              <w:rPr>
                <w:rFonts w:ascii="Arial" w:hAnsi="Arial"/>
                <w:sz w:val="16"/>
              </w:rPr>
              <w:t>True</w:t>
            </w:r>
          </w:p>
        </w:tc>
        <w:tc>
          <w:tcPr>
            <w:tcW w:type="dxa" w:w="2033"/>
            <w:vAlign w:val="center"/>
          </w:tcPr>
          <w:p>
            <w:r>
              <w:rPr>
                <w:rFonts w:ascii="Arial" w:hAnsi="Arial"/>
                <w:sz w:val="16"/>
              </w:rPr>
              <w:t>NA</w:t>
            </w:r>
          </w:p>
        </w:tc>
      </w:tr>
      <w:tr>
        <w:tc>
          <w:tcPr>
            <w:tcW w:type="dxa" w:w="2033"/>
            <w:vAlign w:val="center"/>
          </w:tcPr>
          <w:p>
            <w:r>
              <w:rPr>
                <w:rFonts w:ascii="Arial" w:hAnsi="Arial"/>
                <w:sz w:val="16"/>
              </w:rPr>
              <w:t>Edema</w:t>
            </w:r>
          </w:p>
        </w:tc>
        <w:tc>
          <w:tcPr>
            <w:tcW w:type="dxa" w:w="2033"/>
            <w:vAlign w:val="center"/>
          </w:tcPr>
          <w:p>
            <w:r>
              <w:rPr>
                <w:rFonts w:ascii="Arial" w:hAnsi="Arial"/>
                <w:sz w:val="16"/>
              </w:rPr>
              <w:t>primary internally; external unevaluable in cached subset</w:t>
            </w:r>
          </w:p>
        </w:tc>
        <w:tc>
          <w:tcPr>
            <w:tcW w:type="dxa" w:w="2033"/>
            <w:vAlign w:val="center"/>
          </w:tcPr>
          <w:p>
            <w:r>
              <w:rPr>
                <w:rFonts w:ascii="Arial" w:hAnsi="Arial"/>
                <w:sz w:val="16"/>
              </w:rPr>
              <w:t>0</w:t>
            </w:r>
          </w:p>
        </w:tc>
        <w:tc>
          <w:tcPr>
            <w:tcW w:type="dxa" w:w="2033"/>
            <w:vAlign w:val="center"/>
          </w:tcPr>
          <w:p>
            <w:r>
              <w:rPr>
                <w:rFonts w:ascii="Arial" w:hAnsi="Arial"/>
                <w:sz w:val="16"/>
              </w:rPr>
              <w:t>False</w:t>
            </w:r>
          </w:p>
        </w:tc>
        <w:tc>
          <w:tcPr>
            <w:tcW w:type="dxa" w:w="2033"/>
            <w:vAlign w:val="center"/>
          </w:tcPr>
          <w:p>
            <w:r>
              <w:rPr>
                <w:rFonts w:ascii="Arial" w:hAnsi="Arial"/>
                <w:sz w:val="16"/>
              </w:rPr>
              <w:t>AUROC/AUPRC are NA when the external subset has no positive cases</w:t>
            </w:r>
          </w:p>
        </w:tc>
      </w:tr>
      <w:tr>
        <w:tc>
          <w:tcPr>
            <w:tcW w:type="dxa" w:w="2033"/>
            <w:vAlign w:val="center"/>
          </w:tcPr>
          <w:p>
            <w:r>
              <w:rPr>
                <w:rFonts w:ascii="Arial" w:hAnsi="Arial"/>
                <w:sz w:val="16"/>
              </w:rPr>
              <w:t>Pneumonia</w:t>
            </w:r>
          </w:p>
        </w:tc>
        <w:tc>
          <w:tcPr>
            <w:tcW w:type="dxa" w:w="2033"/>
            <w:vAlign w:val="center"/>
          </w:tcPr>
          <w:p>
            <w:r>
              <w:rPr>
                <w:rFonts w:ascii="Arial" w:hAnsi="Arial"/>
                <w:sz w:val="16"/>
              </w:rPr>
              <w:t>sensitivity internally; external unevaluable in cached subset</w:t>
            </w:r>
          </w:p>
        </w:tc>
        <w:tc>
          <w:tcPr>
            <w:tcW w:type="dxa" w:w="2033"/>
            <w:vAlign w:val="center"/>
          </w:tcPr>
          <w:p>
            <w:r>
              <w:rPr>
                <w:rFonts w:ascii="Arial" w:hAnsi="Arial"/>
                <w:sz w:val="16"/>
              </w:rPr>
              <w:t>0</w:t>
            </w:r>
          </w:p>
        </w:tc>
        <w:tc>
          <w:tcPr>
            <w:tcW w:type="dxa" w:w="2033"/>
            <w:vAlign w:val="center"/>
          </w:tcPr>
          <w:p>
            <w:r>
              <w:rPr>
                <w:rFonts w:ascii="Arial" w:hAnsi="Arial"/>
                <w:sz w:val="16"/>
              </w:rPr>
              <w:t>False</w:t>
            </w:r>
          </w:p>
        </w:tc>
        <w:tc>
          <w:tcPr>
            <w:tcW w:type="dxa" w:w="2033"/>
            <w:vAlign w:val="center"/>
          </w:tcPr>
          <w:p>
            <w:r>
              <w:rPr>
                <w:rFonts w:ascii="Arial" w:hAnsi="Arial"/>
                <w:sz w:val="16"/>
              </w:rPr>
              <w:t>AUROC/AUPRC are NA when the external subset has no positive cases</w:t>
            </w:r>
          </w:p>
        </w:tc>
      </w:tr>
      <w:tr>
        <w:tc>
          <w:tcPr>
            <w:tcW w:type="dxa" w:w="2033"/>
            <w:vAlign w:val="center"/>
          </w:tcPr>
          <w:p>
            <w:r>
              <w:rPr>
                <w:rFonts w:ascii="Arial" w:hAnsi="Arial"/>
                <w:sz w:val="16"/>
              </w:rPr>
              <w:t>No Finding</w:t>
            </w:r>
          </w:p>
        </w:tc>
        <w:tc>
          <w:tcPr>
            <w:tcW w:type="dxa" w:w="2033"/>
            <w:vAlign w:val="center"/>
          </w:tcPr>
          <w:p>
            <w:r>
              <w:rPr>
                <w:rFonts w:ascii="Arial" w:hAnsi="Arial"/>
                <w:sz w:val="16"/>
              </w:rPr>
              <w:t>sensitivity/reference label; external-evaluable</w:t>
            </w:r>
          </w:p>
        </w:tc>
        <w:tc>
          <w:tcPr>
            <w:tcW w:type="dxa" w:w="2033"/>
            <w:vAlign w:val="center"/>
          </w:tcPr>
          <w:p>
            <w:r>
              <w:rPr>
                <w:rFonts w:ascii="Arial" w:hAnsi="Arial"/>
                <w:sz w:val="16"/>
              </w:rPr>
              <w:t>414</w:t>
            </w:r>
          </w:p>
        </w:tc>
        <w:tc>
          <w:tcPr>
            <w:tcW w:type="dxa" w:w="2033"/>
            <w:vAlign w:val="center"/>
          </w:tcPr>
          <w:p>
            <w:r>
              <w:rPr>
                <w:rFonts w:ascii="Arial" w:hAnsi="Arial"/>
                <w:sz w:val="16"/>
              </w:rPr>
              <w:t>True</w:t>
            </w:r>
          </w:p>
        </w:tc>
        <w:tc>
          <w:tcPr>
            <w:tcW w:type="dxa" w:w="2033"/>
            <w:vAlign w:val="center"/>
          </w:tcPr>
          <w:p>
            <w:r>
              <w:rPr>
                <w:rFonts w:ascii="Arial" w:hAnsi="Arial"/>
                <w:sz w:val="16"/>
              </w:rPr>
              <w:t>NA</w:t>
            </w:r>
          </w:p>
        </w:tc>
      </w:tr>
    </w:tbl>
    <w:p>
      <w:pPr>
        <w:pStyle w:val="Heading2"/>
      </w:pPr>
      <w:r>
        <w:t>Table 3. DenseNet121 label-wise internal and external performance</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D9EAF7"/>
          </w:tcPr>
          <w:p>
            <w:r>
              <w:rPr>
                <w:rFonts w:ascii="Arial" w:hAnsi="Arial"/>
                <w:b/>
                <w:sz w:val="16"/>
              </w:rPr>
              <w:t>label</w:t>
            </w:r>
          </w:p>
        </w:tc>
        <w:tc>
          <w:tcPr>
            <w:tcW w:type="dxa" w:w="1452"/>
            <w:vAlign w:val="center"/>
            <w:shd w:fill="D9EAF7"/>
          </w:tcPr>
          <w:p>
            <w:r>
              <w:rPr>
                <w:rFonts w:ascii="Arial" w:hAnsi="Arial"/>
                <w:b/>
                <w:sz w:val="16"/>
              </w:rPr>
              <w:t>validation_threshold</w:t>
            </w:r>
          </w:p>
        </w:tc>
        <w:tc>
          <w:tcPr>
            <w:tcW w:type="dxa" w:w="1452"/>
            <w:vAlign w:val="center"/>
            <w:shd w:fill="D9EAF7"/>
          </w:tcPr>
          <w:p>
            <w:r>
              <w:rPr>
                <w:rFonts w:ascii="Arial" w:hAnsi="Arial"/>
                <w:b/>
                <w:sz w:val="16"/>
              </w:rPr>
              <w:t>internal_auroc_95ci</w:t>
            </w:r>
          </w:p>
        </w:tc>
        <w:tc>
          <w:tcPr>
            <w:tcW w:type="dxa" w:w="1452"/>
            <w:vAlign w:val="center"/>
            <w:shd w:fill="D9EAF7"/>
          </w:tcPr>
          <w:p>
            <w:r>
              <w:rPr>
                <w:rFonts w:ascii="Arial" w:hAnsi="Arial"/>
                <w:b/>
                <w:sz w:val="16"/>
              </w:rPr>
              <w:t>external_auroc_95ci</w:t>
            </w:r>
          </w:p>
        </w:tc>
        <w:tc>
          <w:tcPr>
            <w:tcW w:type="dxa" w:w="1452"/>
            <w:vAlign w:val="center"/>
            <w:shd w:fill="D9EAF7"/>
          </w:tcPr>
          <w:p>
            <w:r>
              <w:rPr>
                <w:rFonts w:ascii="Arial" w:hAnsi="Arial"/>
                <w:b/>
                <w:sz w:val="16"/>
              </w:rPr>
              <w:t>internal_auprc_95ci</w:t>
            </w:r>
          </w:p>
        </w:tc>
        <w:tc>
          <w:tcPr>
            <w:tcW w:type="dxa" w:w="1452"/>
            <w:vAlign w:val="center"/>
            <w:shd w:fill="D9EAF7"/>
          </w:tcPr>
          <w:p>
            <w:r>
              <w:rPr>
                <w:rFonts w:ascii="Arial" w:hAnsi="Arial"/>
                <w:b/>
                <w:sz w:val="16"/>
              </w:rPr>
              <w:t>external_auprc_95ci</w:t>
            </w:r>
          </w:p>
        </w:tc>
        <w:tc>
          <w:tcPr>
            <w:tcW w:type="dxa" w:w="1452"/>
            <w:vAlign w:val="center"/>
            <w:shd w:fill="D9EAF7"/>
          </w:tcPr>
          <w:p>
            <w:r>
              <w:rPr>
                <w:rFonts w:ascii="Arial" w:hAnsi="Arial"/>
                <w:b/>
                <w:sz w:val="16"/>
              </w:rPr>
              <w:t>external_analysis_status</w:t>
            </w:r>
          </w:p>
        </w:tc>
      </w:tr>
      <w:tr>
        <w:tc>
          <w:tcPr>
            <w:tcW w:type="dxa" w:w="1452"/>
            <w:vAlign w:val="center"/>
          </w:tcPr>
          <w:p>
            <w:r>
              <w:rPr>
                <w:rFonts w:ascii="Arial" w:hAnsi="Arial"/>
                <w:sz w:val="16"/>
              </w:rPr>
              <w:t>Atelectasis</w:t>
            </w:r>
          </w:p>
        </w:tc>
        <w:tc>
          <w:tcPr>
            <w:tcW w:type="dxa" w:w="1452"/>
            <w:vAlign w:val="center"/>
          </w:tcPr>
          <w:p>
            <w:r>
              <w:rPr>
                <w:rFonts w:ascii="Arial" w:hAnsi="Arial"/>
                <w:sz w:val="16"/>
              </w:rPr>
              <w:t>0.660</w:t>
            </w:r>
          </w:p>
        </w:tc>
        <w:tc>
          <w:tcPr>
            <w:tcW w:type="dxa" w:w="1452"/>
            <w:vAlign w:val="center"/>
          </w:tcPr>
          <w:p>
            <w:r>
              <w:rPr>
                <w:rFonts w:ascii="Arial" w:hAnsi="Arial"/>
                <w:sz w:val="16"/>
              </w:rPr>
              <w:t>0.679 (0.616-0.743)</w:t>
            </w:r>
          </w:p>
        </w:tc>
        <w:tc>
          <w:tcPr>
            <w:tcW w:type="dxa" w:w="1452"/>
            <w:vAlign w:val="center"/>
          </w:tcPr>
          <w:p>
            <w:r>
              <w:rPr>
                <w:rFonts w:ascii="Arial" w:hAnsi="Arial"/>
                <w:sz w:val="16"/>
              </w:rPr>
              <w:t>0.617 (0.577-0.658)</w:t>
            </w:r>
          </w:p>
        </w:tc>
        <w:tc>
          <w:tcPr>
            <w:tcW w:type="dxa" w:w="1452"/>
            <w:vAlign w:val="center"/>
          </w:tcPr>
          <w:p>
            <w:r>
              <w:rPr>
                <w:rFonts w:ascii="Arial" w:hAnsi="Arial"/>
                <w:sz w:val="16"/>
              </w:rPr>
              <w:t>0.222 (0.169-0.306)</w:t>
            </w:r>
          </w:p>
        </w:tc>
        <w:tc>
          <w:tcPr>
            <w:tcW w:type="dxa" w:w="1452"/>
            <w:vAlign w:val="center"/>
          </w:tcPr>
          <w:p>
            <w:r>
              <w:rPr>
                <w:rFonts w:ascii="Arial" w:hAnsi="Arial"/>
                <w:sz w:val="16"/>
              </w:rPr>
              <w:t>0.157 (0.132-0.194)</w:t>
            </w:r>
          </w:p>
        </w:tc>
        <w:tc>
          <w:tcPr>
            <w:tcW w:type="dxa" w:w="1452"/>
            <w:vAlign w:val="center"/>
          </w:tcPr>
          <w:p>
            <w:r>
              <w:rPr>
                <w:rFonts w:ascii="Arial" w:hAnsi="Arial"/>
                <w:sz w:val="16"/>
              </w:rPr>
              <w:t>evaluable</w:t>
            </w:r>
          </w:p>
        </w:tc>
      </w:tr>
      <w:tr>
        <w:tc>
          <w:tcPr>
            <w:tcW w:type="dxa" w:w="1452"/>
            <w:vAlign w:val="center"/>
          </w:tcPr>
          <w:p>
            <w:r>
              <w:rPr>
                <w:rFonts w:ascii="Arial" w:hAnsi="Arial"/>
                <w:sz w:val="16"/>
              </w:rPr>
              <w:t>Cardiomegaly</w:t>
            </w:r>
          </w:p>
        </w:tc>
        <w:tc>
          <w:tcPr>
            <w:tcW w:type="dxa" w:w="1452"/>
            <w:vAlign w:val="center"/>
          </w:tcPr>
          <w:p>
            <w:r>
              <w:rPr>
                <w:rFonts w:ascii="Arial" w:hAnsi="Arial"/>
                <w:sz w:val="16"/>
              </w:rPr>
              <w:t>0.750</w:t>
            </w:r>
          </w:p>
        </w:tc>
        <w:tc>
          <w:tcPr>
            <w:tcW w:type="dxa" w:w="1452"/>
            <w:vAlign w:val="center"/>
          </w:tcPr>
          <w:p>
            <w:r>
              <w:rPr>
                <w:rFonts w:ascii="Arial" w:hAnsi="Arial"/>
                <w:sz w:val="16"/>
              </w:rPr>
              <w:t>0.675 (0.560-0.771)</w:t>
            </w:r>
          </w:p>
        </w:tc>
        <w:tc>
          <w:tcPr>
            <w:tcW w:type="dxa" w:w="1452"/>
            <w:vAlign w:val="center"/>
          </w:tcPr>
          <w:p>
            <w:r>
              <w:rPr>
                <w:rFonts w:ascii="Arial" w:hAnsi="Arial"/>
                <w:sz w:val="16"/>
              </w:rPr>
              <w:t>0.780 (0.752-0.810)</w:t>
            </w:r>
          </w:p>
        </w:tc>
        <w:tc>
          <w:tcPr>
            <w:tcW w:type="dxa" w:w="1452"/>
            <w:vAlign w:val="center"/>
          </w:tcPr>
          <w:p>
            <w:r>
              <w:rPr>
                <w:rFonts w:ascii="Arial" w:hAnsi="Arial"/>
                <w:sz w:val="16"/>
              </w:rPr>
              <w:t>0.119 (0.043-0.240)</w:t>
            </w:r>
          </w:p>
        </w:tc>
        <w:tc>
          <w:tcPr>
            <w:tcW w:type="dxa" w:w="1452"/>
            <w:vAlign w:val="center"/>
          </w:tcPr>
          <w:p>
            <w:r>
              <w:rPr>
                <w:rFonts w:ascii="Arial" w:hAnsi="Arial"/>
                <w:sz w:val="16"/>
              </w:rPr>
              <w:t>0.565 (0.505-0.625)</w:t>
            </w:r>
          </w:p>
        </w:tc>
        <w:tc>
          <w:tcPr>
            <w:tcW w:type="dxa" w:w="1452"/>
            <w:vAlign w:val="center"/>
          </w:tcPr>
          <w:p>
            <w:r>
              <w:rPr>
                <w:rFonts w:ascii="Arial" w:hAnsi="Arial"/>
                <w:sz w:val="16"/>
              </w:rPr>
              <w:t>evaluable</w:t>
            </w:r>
          </w:p>
        </w:tc>
      </w:tr>
      <w:tr>
        <w:tc>
          <w:tcPr>
            <w:tcW w:type="dxa" w:w="1452"/>
            <w:vAlign w:val="center"/>
          </w:tcPr>
          <w:p>
            <w:r>
              <w:rPr>
                <w:rFonts w:ascii="Arial" w:hAnsi="Arial"/>
                <w:sz w:val="16"/>
              </w:rPr>
              <w:t>Pleural Effusion</w:t>
            </w:r>
          </w:p>
        </w:tc>
        <w:tc>
          <w:tcPr>
            <w:tcW w:type="dxa" w:w="1452"/>
            <w:vAlign w:val="center"/>
          </w:tcPr>
          <w:p>
            <w:r>
              <w:rPr>
                <w:rFonts w:ascii="Arial" w:hAnsi="Arial"/>
                <w:sz w:val="16"/>
              </w:rPr>
              <w:t>0.550</w:t>
            </w:r>
          </w:p>
        </w:tc>
        <w:tc>
          <w:tcPr>
            <w:tcW w:type="dxa" w:w="1452"/>
            <w:vAlign w:val="center"/>
          </w:tcPr>
          <w:p>
            <w:r>
              <w:rPr>
                <w:rFonts w:ascii="Arial" w:hAnsi="Arial"/>
                <w:sz w:val="16"/>
              </w:rPr>
              <w:t>0.709 (0.650-0.763)</w:t>
            </w:r>
          </w:p>
        </w:tc>
        <w:tc>
          <w:tcPr>
            <w:tcW w:type="dxa" w:w="1452"/>
            <w:vAlign w:val="center"/>
          </w:tcPr>
          <w:p>
            <w:r>
              <w:rPr>
                <w:rFonts w:ascii="Arial" w:hAnsi="Arial"/>
                <w:sz w:val="16"/>
              </w:rPr>
              <w:t>0.811 (0.779-0.838)</w:t>
            </w:r>
          </w:p>
        </w:tc>
        <w:tc>
          <w:tcPr>
            <w:tcW w:type="dxa" w:w="1452"/>
            <w:vAlign w:val="center"/>
          </w:tcPr>
          <w:p>
            <w:r>
              <w:rPr>
                <w:rFonts w:ascii="Arial" w:hAnsi="Arial"/>
                <w:sz w:val="16"/>
              </w:rPr>
              <w:t>0.335 (0.258-0.431)</w:t>
            </w:r>
          </w:p>
        </w:tc>
        <w:tc>
          <w:tcPr>
            <w:tcW w:type="dxa" w:w="1452"/>
            <w:vAlign w:val="center"/>
          </w:tcPr>
          <w:p>
            <w:r>
              <w:rPr>
                <w:rFonts w:ascii="Arial" w:hAnsi="Arial"/>
                <w:sz w:val="16"/>
              </w:rPr>
              <w:t>0.637 (0.580-0.692)</w:t>
            </w:r>
          </w:p>
        </w:tc>
        <w:tc>
          <w:tcPr>
            <w:tcW w:type="dxa" w:w="1452"/>
            <w:vAlign w:val="center"/>
          </w:tcPr>
          <w:p>
            <w:r>
              <w:rPr>
                <w:rFonts w:ascii="Arial" w:hAnsi="Arial"/>
                <w:sz w:val="16"/>
              </w:rPr>
              <w:t>evaluable</w:t>
            </w:r>
          </w:p>
        </w:tc>
      </w:tr>
      <w:tr>
        <w:tc>
          <w:tcPr>
            <w:tcW w:type="dxa" w:w="1452"/>
            <w:vAlign w:val="center"/>
          </w:tcPr>
          <w:p>
            <w:r>
              <w:rPr>
                <w:rFonts w:ascii="Arial" w:hAnsi="Arial"/>
                <w:sz w:val="16"/>
              </w:rPr>
              <w:t>Pneumothorax</w:t>
            </w:r>
          </w:p>
        </w:tc>
        <w:tc>
          <w:tcPr>
            <w:tcW w:type="dxa" w:w="1452"/>
            <w:vAlign w:val="center"/>
          </w:tcPr>
          <w:p>
            <w:r>
              <w:rPr>
                <w:rFonts w:ascii="Arial" w:hAnsi="Arial"/>
                <w:sz w:val="16"/>
              </w:rPr>
              <w:t>0.610</w:t>
            </w:r>
          </w:p>
        </w:tc>
        <w:tc>
          <w:tcPr>
            <w:tcW w:type="dxa" w:w="1452"/>
            <w:vAlign w:val="center"/>
          </w:tcPr>
          <w:p>
            <w:r>
              <w:rPr>
                <w:rFonts w:ascii="Arial" w:hAnsi="Arial"/>
                <w:sz w:val="16"/>
              </w:rPr>
              <w:t>0.646 (0.535-0.754)</w:t>
            </w:r>
          </w:p>
        </w:tc>
        <w:tc>
          <w:tcPr>
            <w:tcW w:type="dxa" w:w="1452"/>
            <w:vAlign w:val="center"/>
          </w:tcPr>
          <w:p>
            <w:r>
              <w:rPr>
                <w:rFonts w:ascii="Arial" w:hAnsi="Arial"/>
                <w:sz w:val="16"/>
              </w:rPr>
              <w:t>0.657 (0.598-0.718)</w:t>
            </w:r>
          </w:p>
        </w:tc>
        <w:tc>
          <w:tcPr>
            <w:tcW w:type="dxa" w:w="1452"/>
            <w:vAlign w:val="center"/>
          </w:tcPr>
          <w:p>
            <w:r>
              <w:rPr>
                <w:rFonts w:ascii="Arial" w:hAnsi="Arial"/>
                <w:sz w:val="16"/>
              </w:rPr>
              <w:t>0.198 (0.085-0.366)</w:t>
            </w:r>
          </w:p>
        </w:tc>
        <w:tc>
          <w:tcPr>
            <w:tcW w:type="dxa" w:w="1452"/>
            <w:vAlign w:val="center"/>
          </w:tcPr>
          <w:p>
            <w:r>
              <w:rPr>
                <w:rFonts w:ascii="Arial" w:hAnsi="Arial"/>
                <w:sz w:val="16"/>
              </w:rPr>
              <w:t>0.092 (0.066-0.135)</w:t>
            </w:r>
          </w:p>
        </w:tc>
        <w:tc>
          <w:tcPr>
            <w:tcW w:type="dxa" w:w="1452"/>
            <w:vAlign w:val="center"/>
          </w:tcPr>
          <w:p>
            <w:r>
              <w:rPr>
                <w:rFonts w:ascii="Arial" w:hAnsi="Arial"/>
                <w:sz w:val="16"/>
              </w:rPr>
              <w:t>evaluable</w:t>
            </w:r>
          </w:p>
        </w:tc>
      </w:tr>
      <w:tr>
        <w:tc>
          <w:tcPr>
            <w:tcW w:type="dxa" w:w="1452"/>
            <w:vAlign w:val="center"/>
          </w:tcPr>
          <w:p>
            <w:r>
              <w:rPr>
                <w:rFonts w:ascii="Arial" w:hAnsi="Arial"/>
                <w:sz w:val="16"/>
              </w:rPr>
              <w:t>Consolidation</w:t>
            </w:r>
          </w:p>
        </w:tc>
        <w:tc>
          <w:tcPr>
            <w:tcW w:type="dxa" w:w="1452"/>
            <w:vAlign w:val="center"/>
          </w:tcPr>
          <w:p>
            <w:r>
              <w:rPr>
                <w:rFonts w:ascii="Arial" w:hAnsi="Arial"/>
                <w:sz w:val="16"/>
              </w:rPr>
              <w:t>0.680</w:t>
            </w:r>
          </w:p>
        </w:tc>
        <w:tc>
          <w:tcPr>
            <w:tcW w:type="dxa" w:w="1452"/>
            <w:vAlign w:val="center"/>
          </w:tcPr>
          <w:p>
            <w:r>
              <w:rPr>
                <w:rFonts w:ascii="Arial" w:hAnsi="Arial"/>
                <w:sz w:val="16"/>
              </w:rPr>
              <w:t>0.618 (0.532-0.695)</w:t>
            </w:r>
          </w:p>
        </w:tc>
        <w:tc>
          <w:tcPr>
            <w:tcW w:type="dxa" w:w="1452"/>
            <w:vAlign w:val="center"/>
          </w:tcPr>
          <w:p>
            <w:r>
              <w:rPr>
                <w:rFonts w:ascii="Arial" w:hAnsi="Arial"/>
                <w:sz w:val="16"/>
              </w:rPr>
              <w:t>0.745 (0.710-0.778)</w:t>
            </w:r>
          </w:p>
        </w:tc>
        <w:tc>
          <w:tcPr>
            <w:tcW w:type="dxa" w:w="1452"/>
            <w:vAlign w:val="center"/>
          </w:tcPr>
          <w:p>
            <w:r>
              <w:rPr>
                <w:rFonts w:ascii="Arial" w:hAnsi="Arial"/>
                <w:sz w:val="16"/>
              </w:rPr>
              <w:t>0.076 (0.053-0.127)</w:t>
            </w:r>
          </w:p>
        </w:tc>
        <w:tc>
          <w:tcPr>
            <w:tcW w:type="dxa" w:w="1452"/>
            <w:vAlign w:val="center"/>
          </w:tcPr>
          <w:p>
            <w:r>
              <w:rPr>
                <w:rFonts w:ascii="Arial" w:hAnsi="Arial"/>
                <w:sz w:val="16"/>
              </w:rPr>
              <w:t>0.374 (0.321-0.450)</w:t>
            </w:r>
          </w:p>
        </w:tc>
        <w:tc>
          <w:tcPr>
            <w:tcW w:type="dxa" w:w="1452"/>
            <w:vAlign w:val="center"/>
          </w:tcPr>
          <w:p>
            <w:r>
              <w:rPr>
                <w:rFonts w:ascii="Arial" w:hAnsi="Arial"/>
                <w:sz w:val="16"/>
              </w:rPr>
              <w:t>evaluable</w:t>
            </w:r>
          </w:p>
        </w:tc>
      </w:tr>
      <w:tr>
        <w:tc>
          <w:tcPr>
            <w:tcW w:type="dxa" w:w="1452"/>
            <w:vAlign w:val="center"/>
          </w:tcPr>
          <w:p>
            <w:r>
              <w:rPr>
                <w:rFonts w:ascii="Arial" w:hAnsi="Arial"/>
                <w:sz w:val="16"/>
              </w:rPr>
              <w:t>Edema</w:t>
            </w:r>
          </w:p>
        </w:tc>
        <w:tc>
          <w:tcPr>
            <w:tcW w:type="dxa" w:w="1452"/>
            <w:vAlign w:val="center"/>
          </w:tcPr>
          <w:p>
            <w:r>
              <w:rPr>
                <w:rFonts w:ascii="Arial" w:hAnsi="Arial"/>
                <w:sz w:val="16"/>
              </w:rPr>
              <w:t>0.600</w:t>
            </w:r>
          </w:p>
        </w:tc>
        <w:tc>
          <w:tcPr>
            <w:tcW w:type="dxa" w:w="1452"/>
            <w:vAlign w:val="center"/>
          </w:tcPr>
          <w:p>
            <w:r>
              <w:rPr>
                <w:rFonts w:ascii="Arial" w:hAnsi="Arial"/>
                <w:sz w:val="16"/>
              </w:rPr>
              <w:t>0.794 (0.689-0.878)</w:t>
            </w:r>
          </w:p>
        </w:tc>
        <w:tc>
          <w:tcPr>
            <w:tcW w:type="dxa" w:w="1452"/>
            <w:vAlign w:val="center"/>
          </w:tcPr>
          <w:p>
            <w:r>
              <w:rPr>
                <w:rFonts w:ascii="Arial" w:hAnsi="Arial"/>
                <w:sz w:val="16"/>
              </w:rPr>
              <w:t>NA</w:t>
            </w:r>
          </w:p>
        </w:tc>
        <w:tc>
          <w:tcPr>
            <w:tcW w:type="dxa" w:w="1452"/>
            <w:vAlign w:val="center"/>
          </w:tcPr>
          <w:p>
            <w:r>
              <w:rPr>
                <w:rFonts w:ascii="Arial" w:hAnsi="Arial"/>
                <w:sz w:val="16"/>
              </w:rPr>
              <w:t>0.059 (0.028-0.122)</w:t>
            </w:r>
          </w:p>
        </w:tc>
        <w:tc>
          <w:tcPr>
            <w:tcW w:type="dxa" w:w="1452"/>
            <w:vAlign w:val="center"/>
          </w:tcPr>
          <w:p>
            <w:r>
              <w:rPr>
                <w:rFonts w:ascii="Arial" w:hAnsi="Arial"/>
                <w:sz w:val="16"/>
              </w:rPr>
              <w:t>NA</w:t>
            </w:r>
          </w:p>
        </w:tc>
        <w:tc>
          <w:tcPr>
            <w:tcW w:type="dxa" w:w="1452"/>
            <w:vAlign w:val="center"/>
          </w:tcPr>
          <w:p>
            <w:r>
              <w:rPr>
                <w:rFonts w:ascii="Arial" w:hAnsi="Arial"/>
                <w:sz w:val="16"/>
              </w:rPr>
              <w:t>not evaluable for discrimination</w:t>
            </w:r>
          </w:p>
        </w:tc>
      </w:tr>
      <w:tr>
        <w:tc>
          <w:tcPr>
            <w:tcW w:type="dxa" w:w="1452"/>
            <w:vAlign w:val="center"/>
          </w:tcPr>
          <w:p>
            <w:r>
              <w:rPr>
                <w:rFonts w:ascii="Arial" w:hAnsi="Arial"/>
                <w:sz w:val="16"/>
              </w:rPr>
              <w:t>Pneumonia</w:t>
            </w:r>
          </w:p>
        </w:tc>
        <w:tc>
          <w:tcPr>
            <w:tcW w:type="dxa" w:w="1452"/>
            <w:vAlign w:val="center"/>
          </w:tcPr>
          <w:p>
            <w:r>
              <w:rPr>
                <w:rFonts w:ascii="Arial" w:hAnsi="Arial"/>
                <w:sz w:val="16"/>
              </w:rPr>
              <w:t>0.210</w:t>
            </w:r>
          </w:p>
        </w:tc>
        <w:tc>
          <w:tcPr>
            <w:tcW w:type="dxa" w:w="1452"/>
            <w:vAlign w:val="center"/>
          </w:tcPr>
          <w:p>
            <w:r>
              <w:rPr>
                <w:rFonts w:ascii="Arial" w:hAnsi="Arial"/>
                <w:sz w:val="16"/>
              </w:rPr>
              <w:t>0.645 (0.522-0.751)</w:t>
            </w:r>
          </w:p>
        </w:tc>
        <w:tc>
          <w:tcPr>
            <w:tcW w:type="dxa" w:w="1452"/>
            <w:vAlign w:val="center"/>
          </w:tcPr>
          <w:p>
            <w:r>
              <w:rPr>
                <w:rFonts w:ascii="Arial" w:hAnsi="Arial"/>
                <w:sz w:val="16"/>
              </w:rPr>
              <w:t>NA</w:t>
            </w:r>
          </w:p>
        </w:tc>
        <w:tc>
          <w:tcPr>
            <w:tcW w:type="dxa" w:w="1452"/>
            <w:vAlign w:val="center"/>
          </w:tcPr>
          <w:p>
            <w:r>
              <w:rPr>
                <w:rFonts w:ascii="Arial" w:hAnsi="Arial"/>
                <w:sz w:val="16"/>
              </w:rPr>
              <w:t>0.037 (0.020-0.080)</w:t>
            </w:r>
          </w:p>
        </w:tc>
        <w:tc>
          <w:tcPr>
            <w:tcW w:type="dxa" w:w="1452"/>
            <w:vAlign w:val="center"/>
          </w:tcPr>
          <w:p>
            <w:r>
              <w:rPr>
                <w:rFonts w:ascii="Arial" w:hAnsi="Arial"/>
                <w:sz w:val="16"/>
              </w:rPr>
              <w:t>NA</w:t>
            </w:r>
          </w:p>
        </w:tc>
        <w:tc>
          <w:tcPr>
            <w:tcW w:type="dxa" w:w="1452"/>
            <w:vAlign w:val="center"/>
          </w:tcPr>
          <w:p>
            <w:r>
              <w:rPr>
                <w:rFonts w:ascii="Arial" w:hAnsi="Arial"/>
                <w:sz w:val="16"/>
              </w:rPr>
              <w:t>not evaluable for discrimination</w:t>
            </w:r>
          </w:p>
        </w:tc>
      </w:tr>
      <w:tr>
        <w:tc>
          <w:tcPr>
            <w:tcW w:type="dxa" w:w="1452"/>
            <w:vAlign w:val="center"/>
          </w:tcPr>
          <w:p>
            <w:r>
              <w:rPr>
                <w:rFonts w:ascii="Arial" w:hAnsi="Arial"/>
                <w:sz w:val="16"/>
              </w:rPr>
              <w:t>No Finding</w:t>
            </w:r>
          </w:p>
        </w:tc>
        <w:tc>
          <w:tcPr>
            <w:tcW w:type="dxa" w:w="1452"/>
            <w:vAlign w:val="center"/>
          </w:tcPr>
          <w:p>
            <w:r>
              <w:rPr>
                <w:rFonts w:ascii="Arial" w:hAnsi="Arial"/>
                <w:sz w:val="16"/>
              </w:rPr>
              <w:t>0.520</w:t>
            </w:r>
          </w:p>
        </w:tc>
        <w:tc>
          <w:tcPr>
            <w:tcW w:type="dxa" w:w="1452"/>
            <w:vAlign w:val="center"/>
          </w:tcPr>
          <w:p>
            <w:r>
              <w:rPr>
                <w:rFonts w:ascii="Arial" w:hAnsi="Arial"/>
                <w:sz w:val="16"/>
              </w:rPr>
              <w:t>0.676 (0.630-0.723)</w:t>
            </w:r>
          </w:p>
        </w:tc>
        <w:tc>
          <w:tcPr>
            <w:tcW w:type="dxa" w:w="1452"/>
            <w:vAlign w:val="center"/>
          </w:tcPr>
          <w:p>
            <w:r>
              <w:rPr>
                <w:rFonts w:ascii="Arial" w:hAnsi="Arial"/>
                <w:sz w:val="16"/>
              </w:rPr>
              <w:t>0.846 (0.823-0.869)</w:t>
            </w:r>
          </w:p>
        </w:tc>
        <w:tc>
          <w:tcPr>
            <w:tcW w:type="dxa" w:w="1452"/>
            <w:vAlign w:val="center"/>
          </w:tcPr>
          <w:p>
            <w:r>
              <w:rPr>
                <w:rFonts w:ascii="Arial" w:hAnsi="Arial"/>
                <w:sz w:val="16"/>
              </w:rPr>
              <w:t>0.662 (0.601-0.726)</w:t>
            </w:r>
          </w:p>
        </w:tc>
        <w:tc>
          <w:tcPr>
            <w:tcW w:type="dxa" w:w="1452"/>
            <w:vAlign w:val="center"/>
          </w:tcPr>
          <w:p>
            <w:r>
              <w:rPr>
                <w:rFonts w:ascii="Arial" w:hAnsi="Arial"/>
                <w:sz w:val="16"/>
              </w:rPr>
              <w:t>0.782 (0.738-0.821)</w:t>
            </w:r>
          </w:p>
        </w:tc>
        <w:tc>
          <w:tcPr>
            <w:tcW w:type="dxa" w:w="1452"/>
            <w:vAlign w:val="center"/>
          </w:tcPr>
          <w:p>
            <w:r>
              <w:rPr>
                <w:rFonts w:ascii="Arial" w:hAnsi="Arial"/>
                <w:sz w:val="16"/>
              </w:rPr>
              <w:t>evaluable</w:t>
            </w:r>
          </w:p>
        </w:tc>
      </w:tr>
    </w:tbl>
    <w:p>
      <w:pPr>
        <w:pStyle w:val="Heading2"/>
      </w:pPr>
      <w:r>
        <w:t>Table 4. Macro architecture comparison</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D9EAF7"/>
          </w:tcPr>
          <w:p>
            <w:r>
              <w:rPr>
                <w:rFonts w:ascii="Arial" w:hAnsi="Arial"/>
                <w:b/>
                <w:sz w:val="16"/>
              </w:rPr>
              <w:t>model</w:t>
            </w:r>
          </w:p>
        </w:tc>
        <w:tc>
          <w:tcPr>
            <w:tcW w:type="dxa" w:w="1452"/>
            <w:vAlign w:val="center"/>
            <w:shd w:fill="D9EAF7"/>
          </w:tcPr>
          <w:p>
            <w:r>
              <w:rPr>
                <w:rFonts w:ascii="Arial" w:hAnsi="Arial"/>
                <w:b/>
                <w:sz w:val="16"/>
              </w:rPr>
              <w:t>internal_all_labels_macro_auroc</w:t>
            </w:r>
          </w:p>
        </w:tc>
        <w:tc>
          <w:tcPr>
            <w:tcW w:type="dxa" w:w="1452"/>
            <w:vAlign w:val="center"/>
            <w:shd w:fill="D9EAF7"/>
          </w:tcPr>
          <w:p>
            <w:r>
              <w:rPr>
                <w:rFonts w:ascii="Arial" w:hAnsi="Arial"/>
                <w:b/>
                <w:sz w:val="16"/>
              </w:rPr>
              <w:t>internal_all_labels_macro_auprc</w:t>
            </w:r>
          </w:p>
        </w:tc>
        <w:tc>
          <w:tcPr>
            <w:tcW w:type="dxa" w:w="1452"/>
            <w:vAlign w:val="center"/>
            <w:shd w:fill="D9EAF7"/>
          </w:tcPr>
          <w:p>
            <w:r>
              <w:rPr>
                <w:rFonts w:ascii="Arial" w:hAnsi="Arial"/>
                <w:b/>
                <w:sz w:val="16"/>
              </w:rPr>
              <w:t>internal_external_evaluable_labels_macro_auroc</w:t>
            </w:r>
          </w:p>
        </w:tc>
        <w:tc>
          <w:tcPr>
            <w:tcW w:type="dxa" w:w="1452"/>
            <w:vAlign w:val="center"/>
            <w:shd w:fill="D9EAF7"/>
          </w:tcPr>
          <w:p>
            <w:r>
              <w:rPr>
                <w:rFonts w:ascii="Arial" w:hAnsi="Arial"/>
                <w:b/>
                <w:sz w:val="16"/>
              </w:rPr>
              <w:t>internal_external_evaluable_labels_macro_auprc</w:t>
            </w:r>
          </w:p>
        </w:tc>
        <w:tc>
          <w:tcPr>
            <w:tcW w:type="dxa" w:w="1452"/>
            <w:vAlign w:val="center"/>
            <w:shd w:fill="D9EAF7"/>
          </w:tcPr>
          <w:p>
            <w:r>
              <w:rPr>
                <w:rFonts w:ascii="Arial" w:hAnsi="Arial"/>
                <w:b/>
                <w:sz w:val="16"/>
              </w:rPr>
              <w:t>external_nonzero_prevalence_labels_macro_auroc</w:t>
            </w:r>
          </w:p>
        </w:tc>
        <w:tc>
          <w:tcPr>
            <w:tcW w:type="dxa" w:w="1452"/>
            <w:vAlign w:val="center"/>
            <w:shd w:fill="D9EAF7"/>
          </w:tcPr>
          <w:p>
            <w:r>
              <w:rPr>
                <w:rFonts w:ascii="Arial" w:hAnsi="Arial"/>
                <w:b/>
                <w:sz w:val="16"/>
              </w:rPr>
              <w:t>external_nonzero_prevalence_labels_macro_auprc</w:t>
            </w:r>
          </w:p>
        </w:tc>
      </w:tr>
      <w:tr>
        <w:tc>
          <w:tcPr>
            <w:tcW w:type="dxa" w:w="1452"/>
            <w:vAlign w:val="center"/>
          </w:tcPr>
          <w:p>
            <w:r>
              <w:rPr>
                <w:rFonts w:ascii="Arial" w:hAnsi="Arial"/>
                <w:sz w:val="16"/>
              </w:rPr>
              <w:t>DenseNet121</w:t>
            </w:r>
          </w:p>
        </w:tc>
        <w:tc>
          <w:tcPr>
            <w:tcW w:type="dxa" w:w="1452"/>
            <w:vAlign w:val="center"/>
          </w:tcPr>
          <w:p>
            <w:r>
              <w:rPr>
                <w:rFonts w:ascii="Arial" w:hAnsi="Arial"/>
                <w:sz w:val="16"/>
              </w:rPr>
              <w:t>0.680</w:t>
            </w:r>
          </w:p>
        </w:tc>
        <w:tc>
          <w:tcPr>
            <w:tcW w:type="dxa" w:w="1452"/>
            <w:vAlign w:val="center"/>
          </w:tcPr>
          <w:p>
            <w:r>
              <w:rPr>
                <w:rFonts w:ascii="Arial" w:hAnsi="Arial"/>
                <w:sz w:val="16"/>
              </w:rPr>
              <w:t>0.214</w:t>
            </w:r>
          </w:p>
        </w:tc>
        <w:tc>
          <w:tcPr>
            <w:tcW w:type="dxa" w:w="1452"/>
            <w:vAlign w:val="center"/>
          </w:tcPr>
          <w:p>
            <w:r>
              <w:rPr>
                <w:rFonts w:ascii="Arial" w:hAnsi="Arial"/>
                <w:sz w:val="16"/>
              </w:rPr>
              <w:t>0.667</w:t>
            </w:r>
          </w:p>
        </w:tc>
        <w:tc>
          <w:tcPr>
            <w:tcW w:type="dxa" w:w="1452"/>
            <w:vAlign w:val="center"/>
          </w:tcPr>
          <w:p>
            <w:r>
              <w:rPr>
                <w:rFonts w:ascii="Arial" w:hAnsi="Arial"/>
                <w:sz w:val="16"/>
              </w:rPr>
              <w:t>0.269</w:t>
            </w:r>
          </w:p>
        </w:tc>
        <w:tc>
          <w:tcPr>
            <w:tcW w:type="dxa" w:w="1452"/>
            <w:vAlign w:val="center"/>
          </w:tcPr>
          <w:p>
            <w:r>
              <w:rPr>
                <w:rFonts w:ascii="Arial" w:hAnsi="Arial"/>
                <w:sz w:val="16"/>
              </w:rPr>
              <w:t>0.743</w:t>
            </w:r>
          </w:p>
        </w:tc>
        <w:tc>
          <w:tcPr>
            <w:tcW w:type="dxa" w:w="1452"/>
            <w:vAlign w:val="center"/>
          </w:tcPr>
          <w:p>
            <w:r>
              <w:rPr>
                <w:rFonts w:ascii="Arial" w:hAnsi="Arial"/>
                <w:sz w:val="16"/>
              </w:rPr>
              <w:t>0.434</w:t>
            </w:r>
          </w:p>
        </w:tc>
      </w:tr>
      <w:tr>
        <w:tc>
          <w:tcPr>
            <w:tcW w:type="dxa" w:w="1452"/>
            <w:vAlign w:val="center"/>
          </w:tcPr>
          <w:p>
            <w:r>
              <w:rPr>
                <w:rFonts w:ascii="Arial" w:hAnsi="Arial"/>
                <w:sz w:val="16"/>
              </w:rPr>
              <w:t>ResNet50</w:t>
            </w:r>
          </w:p>
        </w:tc>
        <w:tc>
          <w:tcPr>
            <w:tcW w:type="dxa" w:w="1452"/>
            <w:vAlign w:val="center"/>
          </w:tcPr>
          <w:p>
            <w:r>
              <w:rPr>
                <w:rFonts w:ascii="Arial" w:hAnsi="Arial"/>
                <w:sz w:val="16"/>
              </w:rPr>
              <w:t>0.647</w:t>
            </w:r>
          </w:p>
        </w:tc>
        <w:tc>
          <w:tcPr>
            <w:tcW w:type="dxa" w:w="1452"/>
            <w:vAlign w:val="center"/>
          </w:tcPr>
          <w:p>
            <w:r>
              <w:rPr>
                <w:rFonts w:ascii="Arial" w:hAnsi="Arial"/>
                <w:sz w:val="16"/>
              </w:rPr>
              <w:t>0.200</w:t>
            </w:r>
          </w:p>
        </w:tc>
        <w:tc>
          <w:tcPr>
            <w:tcW w:type="dxa" w:w="1452"/>
            <w:vAlign w:val="center"/>
          </w:tcPr>
          <w:p>
            <w:r>
              <w:rPr>
                <w:rFonts w:ascii="Arial" w:hAnsi="Arial"/>
                <w:sz w:val="16"/>
              </w:rPr>
              <w:t>0.653</w:t>
            </w:r>
          </w:p>
        </w:tc>
        <w:tc>
          <w:tcPr>
            <w:tcW w:type="dxa" w:w="1452"/>
            <w:vAlign w:val="center"/>
          </w:tcPr>
          <w:p>
            <w:r>
              <w:rPr>
                <w:rFonts w:ascii="Arial" w:hAnsi="Arial"/>
                <w:sz w:val="16"/>
              </w:rPr>
              <w:t>0.254</w:t>
            </w:r>
          </w:p>
        </w:tc>
        <w:tc>
          <w:tcPr>
            <w:tcW w:type="dxa" w:w="1452"/>
            <w:vAlign w:val="center"/>
          </w:tcPr>
          <w:p>
            <w:r>
              <w:rPr>
                <w:rFonts w:ascii="Arial" w:hAnsi="Arial"/>
                <w:sz w:val="16"/>
              </w:rPr>
              <w:t>0.728</w:t>
            </w:r>
          </w:p>
        </w:tc>
        <w:tc>
          <w:tcPr>
            <w:tcW w:type="dxa" w:w="1452"/>
            <w:vAlign w:val="center"/>
          </w:tcPr>
          <w:p>
            <w:r>
              <w:rPr>
                <w:rFonts w:ascii="Arial" w:hAnsi="Arial"/>
                <w:sz w:val="16"/>
              </w:rPr>
              <w:t>0.418</w:t>
            </w:r>
          </w:p>
        </w:tc>
      </w:tr>
      <w:tr>
        <w:tc>
          <w:tcPr>
            <w:tcW w:type="dxa" w:w="1452"/>
            <w:vAlign w:val="center"/>
          </w:tcPr>
          <w:p>
            <w:r>
              <w:rPr>
                <w:rFonts w:ascii="Arial" w:hAnsi="Arial"/>
                <w:sz w:val="16"/>
              </w:rPr>
              <w:t>EfficientNet-B0</w:t>
            </w:r>
          </w:p>
        </w:tc>
        <w:tc>
          <w:tcPr>
            <w:tcW w:type="dxa" w:w="1452"/>
            <w:vAlign w:val="center"/>
          </w:tcPr>
          <w:p>
            <w:r>
              <w:rPr>
                <w:rFonts w:ascii="Arial" w:hAnsi="Arial"/>
                <w:sz w:val="16"/>
              </w:rPr>
              <w:t>0.656</w:t>
            </w:r>
          </w:p>
        </w:tc>
        <w:tc>
          <w:tcPr>
            <w:tcW w:type="dxa" w:w="1452"/>
            <w:vAlign w:val="center"/>
          </w:tcPr>
          <w:p>
            <w:r>
              <w:rPr>
                <w:rFonts w:ascii="Arial" w:hAnsi="Arial"/>
                <w:sz w:val="16"/>
              </w:rPr>
              <w:t>0.218</w:t>
            </w:r>
          </w:p>
        </w:tc>
        <w:tc>
          <w:tcPr>
            <w:tcW w:type="dxa" w:w="1452"/>
            <w:vAlign w:val="center"/>
          </w:tcPr>
          <w:p>
            <w:r>
              <w:rPr>
                <w:rFonts w:ascii="Arial" w:hAnsi="Arial"/>
                <w:sz w:val="16"/>
              </w:rPr>
              <w:t>0.674</w:t>
            </w:r>
          </w:p>
        </w:tc>
        <w:tc>
          <w:tcPr>
            <w:tcW w:type="dxa" w:w="1452"/>
            <w:vAlign w:val="center"/>
          </w:tcPr>
          <w:p>
            <w:r>
              <w:rPr>
                <w:rFonts w:ascii="Arial" w:hAnsi="Arial"/>
                <w:sz w:val="16"/>
              </w:rPr>
              <w:t>0.271</w:t>
            </w:r>
          </w:p>
        </w:tc>
        <w:tc>
          <w:tcPr>
            <w:tcW w:type="dxa" w:w="1452"/>
            <w:vAlign w:val="center"/>
          </w:tcPr>
          <w:p>
            <w:r>
              <w:rPr>
                <w:rFonts w:ascii="Arial" w:hAnsi="Arial"/>
                <w:sz w:val="16"/>
              </w:rPr>
              <w:t>0.656</w:t>
            </w:r>
          </w:p>
        </w:tc>
        <w:tc>
          <w:tcPr>
            <w:tcW w:type="dxa" w:w="1452"/>
            <w:vAlign w:val="center"/>
          </w:tcPr>
          <w:p>
            <w:r>
              <w:rPr>
                <w:rFonts w:ascii="Arial" w:hAnsi="Arial"/>
                <w:sz w:val="16"/>
              </w:rPr>
              <w:t>0.370</w:t>
            </w:r>
          </w:p>
        </w:tc>
      </w:tr>
    </w:tbl>
    <w:p>
      <w:pPr>
        <w:pStyle w:val="Heading2"/>
      </w:pPr>
      <w:r>
        <w:t>Table 5. Calibration metrics before and after NIH-fitted calibration</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D9EAF7"/>
          </w:tcPr>
          <w:p>
            <w:r>
              <w:rPr>
                <w:rFonts w:ascii="Arial" w:hAnsi="Arial"/>
                <w:b/>
                <w:sz w:val="16"/>
              </w:rPr>
              <w:t>dataset</w:t>
            </w:r>
          </w:p>
        </w:tc>
        <w:tc>
          <w:tcPr>
            <w:tcW w:type="dxa" w:w="1271"/>
            <w:vAlign w:val="center"/>
            <w:shd w:fill="D9EAF7"/>
          </w:tcPr>
          <w:p>
            <w:r>
              <w:rPr>
                <w:rFonts w:ascii="Arial" w:hAnsi="Arial"/>
                <w:b/>
                <w:sz w:val="16"/>
              </w:rPr>
              <w:t>calibration_method</w:t>
            </w:r>
          </w:p>
        </w:tc>
        <w:tc>
          <w:tcPr>
            <w:tcW w:type="dxa" w:w="1271"/>
            <w:vAlign w:val="center"/>
            <w:shd w:fill="D9EAF7"/>
          </w:tcPr>
          <w:p>
            <w:r>
              <w:rPr>
                <w:rFonts w:ascii="Arial" w:hAnsi="Arial"/>
                <w:b/>
                <w:sz w:val="16"/>
              </w:rPr>
              <w:t>brier_score</w:t>
            </w:r>
          </w:p>
        </w:tc>
        <w:tc>
          <w:tcPr>
            <w:tcW w:type="dxa" w:w="1271"/>
            <w:vAlign w:val="center"/>
            <w:shd w:fill="D9EAF7"/>
          </w:tcPr>
          <w:p>
            <w:r>
              <w:rPr>
                <w:rFonts w:ascii="Arial" w:hAnsi="Arial"/>
                <w:b/>
                <w:sz w:val="16"/>
              </w:rPr>
              <w:t>ece</w:t>
            </w:r>
          </w:p>
        </w:tc>
        <w:tc>
          <w:tcPr>
            <w:tcW w:type="dxa" w:w="1271"/>
            <w:vAlign w:val="center"/>
            <w:shd w:fill="D9EAF7"/>
          </w:tcPr>
          <w:p>
            <w:r>
              <w:rPr>
                <w:rFonts w:ascii="Arial" w:hAnsi="Arial"/>
                <w:b/>
                <w:sz w:val="16"/>
              </w:rPr>
              <w:t>mce</w:t>
            </w:r>
          </w:p>
        </w:tc>
        <w:tc>
          <w:tcPr>
            <w:tcW w:type="dxa" w:w="1271"/>
            <w:vAlign w:val="center"/>
            <w:shd w:fill="D9EAF7"/>
          </w:tcPr>
          <w:p>
            <w:r>
              <w:rPr>
                <w:rFonts w:ascii="Arial" w:hAnsi="Arial"/>
                <w:b/>
                <w:sz w:val="16"/>
              </w:rPr>
              <w:t>calibration_slope</w:t>
            </w:r>
          </w:p>
        </w:tc>
        <w:tc>
          <w:tcPr>
            <w:tcW w:type="dxa" w:w="1271"/>
            <w:vAlign w:val="center"/>
            <w:shd w:fill="D9EAF7"/>
          </w:tcPr>
          <w:p>
            <w:r>
              <w:rPr>
                <w:rFonts w:ascii="Arial" w:hAnsi="Arial"/>
                <w:b/>
                <w:sz w:val="16"/>
              </w:rPr>
              <w:t>calibration_intercept</w:t>
            </w:r>
          </w:p>
        </w:tc>
        <w:tc>
          <w:tcPr>
            <w:tcW w:type="dxa" w:w="1271"/>
            <w:vAlign w:val="center"/>
            <w:shd w:fill="D9EAF7"/>
          </w:tcPr>
          <w:p>
            <w:r>
              <w:rPr>
                <w:rFonts w:ascii="Arial" w:hAnsi="Arial"/>
                <w:b/>
                <w:sz w:val="16"/>
              </w:rPr>
              <w:t>external_fitting_used</w:t>
            </w:r>
          </w:p>
        </w:tc>
      </w:tr>
      <w:tr>
        <w:tc>
          <w:tcPr>
            <w:tcW w:type="dxa" w:w="1271"/>
            <w:vAlign w:val="center"/>
          </w:tcPr>
          <w:p>
            <w:r>
              <w:rPr>
                <w:rFonts w:ascii="Arial" w:hAnsi="Arial"/>
                <w:sz w:val="16"/>
              </w:rPr>
              <w:t>NIH_internal_test</w:t>
            </w:r>
          </w:p>
        </w:tc>
        <w:tc>
          <w:tcPr>
            <w:tcW w:type="dxa" w:w="1271"/>
            <w:vAlign w:val="center"/>
          </w:tcPr>
          <w:p>
            <w:r>
              <w:rPr>
                <w:rFonts w:ascii="Arial" w:hAnsi="Arial"/>
                <w:sz w:val="16"/>
              </w:rPr>
              <w:t>uncalibrated</w:t>
            </w:r>
          </w:p>
        </w:tc>
        <w:tc>
          <w:tcPr>
            <w:tcW w:type="dxa" w:w="1271"/>
            <w:vAlign w:val="center"/>
          </w:tcPr>
          <w:p>
            <w:r>
              <w:rPr>
                <w:rFonts w:ascii="Arial" w:hAnsi="Arial"/>
                <w:sz w:val="16"/>
              </w:rPr>
              <w:t>0.193</w:t>
            </w:r>
          </w:p>
        </w:tc>
        <w:tc>
          <w:tcPr>
            <w:tcW w:type="dxa" w:w="1271"/>
            <w:vAlign w:val="center"/>
          </w:tcPr>
          <w:p>
            <w:r>
              <w:rPr>
                <w:rFonts w:ascii="Arial" w:hAnsi="Arial"/>
                <w:sz w:val="16"/>
              </w:rPr>
              <w:t>0.269</w:t>
            </w:r>
          </w:p>
        </w:tc>
        <w:tc>
          <w:tcPr>
            <w:tcW w:type="dxa" w:w="1271"/>
            <w:vAlign w:val="center"/>
          </w:tcPr>
          <w:p>
            <w:r>
              <w:rPr>
                <w:rFonts w:ascii="Arial" w:hAnsi="Arial"/>
                <w:sz w:val="16"/>
              </w:rPr>
              <w:t>0.539</w:t>
            </w:r>
          </w:p>
        </w:tc>
        <w:tc>
          <w:tcPr>
            <w:tcW w:type="dxa" w:w="1271"/>
            <w:vAlign w:val="center"/>
          </w:tcPr>
          <w:p>
            <w:r>
              <w:rPr>
                <w:rFonts w:ascii="Arial" w:hAnsi="Arial"/>
                <w:sz w:val="16"/>
              </w:rPr>
              <w:t>0.633</w:t>
            </w:r>
          </w:p>
        </w:tc>
        <w:tc>
          <w:tcPr>
            <w:tcW w:type="dxa" w:w="1271"/>
            <w:vAlign w:val="center"/>
          </w:tcPr>
          <w:p>
            <w:r>
              <w:rPr>
                <w:rFonts w:ascii="Arial" w:hAnsi="Arial"/>
                <w:sz w:val="16"/>
              </w:rPr>
              <w:t>-2.285</w:t>
            </w:r>
          </w:p>
        </w:tc>
        <w:tc>
          <w:tcPr>
            <w:tcW w:type="dxa" w:w="1271"/>
            <w:vAlign w:val="center"/>
          </w:tcPr>
          <w:p>
            <w:r>
              <w:rPr>
                <w:rFonts w:ascii="Arial" w:hAnsi="Arial"/>
                <w:sz w:val="16"/>
              </w:rPr>
              <w:t>no</w:t>
            </w:r>
          </w:p>
        </w:tc>
      </w:tr>
      <w:tr>
        <w:tc>
          <w:tcPr>
            <w:tcW w:type="dxa" w:w="1271"/>
            <w:vAlign w:val="center"/>
          </w:tcPr>
          <w:p>
            <w:r>
              <w:rPr>
                <w:rFonts w:ascii="Arial" w:hAnsi="Arial"/>
                <w:sz w:val="16"/>
              </w:rPr>
              <w:t>NIH_internal_test</w:t>
            </w:r>
          </w:p>
        </w:tc>
        <w:tc>
          <w:tcPr>
            <w:tcW w:type="dxa" w:w="1271"/>
            <w:vAlign w:val="center"/>
          </w:tcPr>
          <w:p>
            <w:r>
              <w:rPr>
                <w:rFonts w:ascii="Arial" w:hAnsi="Arial"/>
                <w:sz w:val="16"/>
              </w:rPr>
              <w:t>temperature</w:t>
            </w:r>
          </w:p>
        </w:tc>
        <w:tc>
          <w:tcPr>
            <w:tcW w:type="dxa" w:w="1271"/>
            <w:vAlign w:val="center"/>
          </w:tcPr>
          <w:p>
            <w:r>
              <w:rPr>
                <w:rFonts w:ascii="Arial" w:hAnsi="Arial"/>
                <w:sz w:val="16"/>
              </w:rPr>
              <w:t>0.189</w:t>
            </w:r>
          </w:p>
        </w:tc>
        <w:tc>
          <w:tcPr>
            <w:tcW w:type="dxa" w:w="1271"/>
            <w:vAlign w:val="center"/>
          </w:tcPr>
          <w:p>
            <w:r>
              <w:rPr>
                <w:rFonts w:ascii="Arial" w:hAnsi="Arial"/>
                <w:sz w:val="16"/>
              </w:rPr>
              <w:t>0.280</w:t>
            </w:r>
          </w:p>
        </w:tc>
        <w:tc>
          <w:tcPr>
            <w:tcW w:type="dxa" w:w="1271"/>
            <w:vAlign w:val="center"/>
          </w:tcPr>
          <w:p>
            <w:r>
              <w:rPr>
                <w:rFonts w:ascii="Arial" w:hAnsi="Arial"/>
                <w:sz w:val="16"/>
              </w:rPr>
              <w:t>0.556</w:t>
            </w:r>
          </w:p>
        </w:tc>
        <w:tc>
          <w:tcPr>
            <w:tcW w:type="dxa" w:w="1271"/>
            <w:vAlign w:val="center"/>
          </w:tcPr>
          <w:p>
            <w:r>
              <w:rPr>
                <w:rFonts w:ascii="Arial" w:hAnsi="Arial"/>
                <w:sz w:val="16"/>
              </w:rPr>
              <w:t>0.821</w:t>
            </w:r>
          </w:p>
        </w:tc>
        <w:tc>
          <w:tcPr>
            <w:tcW w:type="dxa" w:w="1271"/>
            <w:vAlign w:val="center"/>
          </w:tcPr>
          <w:p>
            <w:r>
              <w:rPr>
                <w:rFonts w:ascii="Arial" w:hAnsi="Arial"/>
                <w:sz w:val="16"/>
              </w:rPr>
              <w:t>-2.286</w:t>
            </w:r>
          </w:p>
        </w:tc>
        <w:tc>
          <w:tcPr>
            <w:tcW w:type="dxa" w:w="1271"/>
            <w:vAlign w:val="center"/>
          </w:tcPr>
          <w:p>
            <w:r>
              <w:rPr>
                <w:rFonts w:ascii="Arial" w:hAnsi="Arial"/>
                <w:sz w:val="16"/>
              </w:rPr>
              <w:t>no</w:t>
            </w:r>
          </w:p>
        </w:tc>
      </w:tr>
      <w:tr>
        <w:tc>
          <w:tcPr>
            <w:tcW w:type="dxa" w:w="1271"/>
            <w:vAlign w:val="center"/>
          </w:tcPr>
          <w:p>
            <w:r>
              <w:rPr>
                <w:rFonts w:ascii="Arial" w:hAnsi="Arial"/>
                <w:sz w:val="16"/>
              </w:rPr>
              <w:t>NIH_internal_test</w:t>
            </w:r>
          </w:p>
        </w:tc>
        <w:tc>
          <w:tcPr>
            <w:tcW w:type="dxa" w:w="1271"/>
            <w:vAlign w:val="center"/>
          </w:tcPr>
          <w:p>
            <w:r>
              <w:rPr>
                <w:rFonts w:ascii="Arial" w:hAnsi="Arial"/>
                <w:sz w:val="16"/>
              </w:rPr>
              <w:t>platt</w:t>
            </w:r>
          </w:p>
        </w:tc>
        <w:tc>
          <w:tcPr>
            <w:tcW w:type="dxa" w:w="1271"/>
            <w:vAlign w:val="center"/>
          </w:tcPr>
          <w:p>
            <w:r>
              <w:rPr>
                <w:rFonts w:ascii="Arial" w:hAnsi="Arial"/>
                <w:sz w:val="16"/>
              </w:rPr>
              <w:t>0.079</w:t>
            </w:r>
          </w:p>
        </w:tc>
        <w:tc>
          <w:tcPr>
            <w:tcW w:type="dxa" w:w="1271"/>
            <w:vAlign w:val="center"/>
          </w:tcPr>
          <w:p>
            <w:r>
              <w:rPr>
                <w:rFonts w:ascii="Arial" w:hAnsi="Arial"/>
                <w:sz w:val="16"/>
              </w:rPr>
              <w:t>0.028</w:t>
            </w:r>
          </w:p>
        </w:tc>
        <w:tc>
          <w:tcPr>
            <w:tcW w:type="dxa" w:w="1271"/>
            <w:vAlign w:val="center"/>
          </w:tcPr>
          <w:p>
            <w:r>
              <w:rPr>
                <w:rFonts w:ascii="Arial" w:hAnsi="Arial"/>
                <w:sz w:val="16"/>
              </w:rPr>
              <w:t>0.269</w:t>
            </w:r>
          </w:p>
        </w:tc>
        <w:tc>
          <w:tcPr>
            <w:tcW w:type="dxa" w:w="1271"/>
            <w:vAlign w:val="center"/>
          </w:tcPr>
          <w:p>
            <w:r>
              <w:rPr>
                <w:rFonts w:ascii="Arial" w:hAnsi="Arial"/>
                <w:sz w:val="16"/>
              </w:rPr>
              <w:t>1.151</w:t>
            </w:r>
          </w:p>
        </w:tc>
        <w:tc>
          <w:tcPr>
            <w:tcW w:type="dxa" w:w="1271"/>
            <w:vAlign w:val="center"/>
          </w:tcPr>
          <w:p>
            <w:r>
              <w:rPr>
                <w:rFonts w:ascii="Arial" w:hAnsi="Arial"/>
                <w:sz w:val="16"/>
              </w:rPr>
              <w:t>0.389</w:t>
            </w:r>
          </w:p>
        </w:tc>
        <w:tc>
          <w:tcPr>
            <w:tcW w:type="dxa" w:w="1271"/>
            <w:vAlign w:val="center"/>
          </w:tcPr>
          <w:p>
            <w:r>
              <w:rPr>
                <w:rFonts w:ascii="Arial" w:hAnsi="Arial"/>
                <w:sz w:val="16"/>
              </w:rPr>
              <w:t>no</w:t>
            </w:r>
          </w:p>
        </w:tc>
      </w:tr>
      <w:tr>
        <w:tc>
          <w:tcPr>
            <w:tcW w:type="dxa" w:w="1271"/>
            <w:vAlign w:val="center"/>
          </w:tcPr>
          <w:p>
            <w:r>
              <w:rPr>
                <w:rFonts w:ascii="Arial" w:hAnsi="Arial"/>
                <w:sz w:val="16"/>
              </w:rPr>
              <w:t>NIH_internal_test</w:t>
            </w:r>
          </w:p>
        </w:tc>
        <w:tc>
          <w:tcPr>
            <w:tcW w:type="dxa" w:w="1271"/>
            <w:vAlign w:val="center"/>
          </w:tcPr>
          <w:p>
            <w:r>
              <w:rPr>
                <w:rFonts w:ascii="Arial" w:hAnsi="Arial"/>
                <w:sz w:val="16"/>
              </w:rPr>
              <w:t>isotonic</w:t>
            </w:r>
          </w:p>
        </w:tc>
        <w:tc>
          <w:tcPr>
            <w:tcW w:type="dxa" w:w="1271"/>
            <w:vAlign w:val="center"/>
          </w:tcPr>
          <w:p>
            <w:r>
              <w:rPr>
                <w:rFonts w:ascii="Arial" w:hAnsi="Arial"/>
                <w:sz w:val="16"/>
              </w:rPr>
              <w:t>0.081</w:t>
            </w:r>
          </w:p>
        </w:tc>
        <w:tc>
          <w:tcPr>
            <w:tcW w:type="dxa" w:w="1271"/>
            <w:vAlign w:val="center"/>
          </w:tcPr>
          <w:p>
            <w:r>
              <w:rPr>
                <w:rFonts w:ascii="Arial" w:hAnsi="Arial"/>
                <w:sz w:val="16"/>
              </w:rPr>
              <w:t>0.031</w:t>
            </w:r>
          </w:p>
        </w:tc>
        <w:tc>
          <w:tcPr>
            <w:tcW w:type="dxa" w:w="1271"/>
            <w:vAlign w:val="center"/>
          </w:tcPr>
          <w:p>
            <w:r>
              <w:rPr>
                <w:rFonts w:ascii="Arial" w:hAnsi="Arial"/>
                <w:sz w:val="16"/>
              </w:rPr>
              <w:t>0.286</w:t>
            </w:r>
          </w:p>
        </w:tc>
        <w:tc>
          <w:tcPr>
            <w:tcW w:type="dxa" w:w="1271"/>
            <w:vAlign w:val="center"/>
          </w:tcPr>
          <w:p>
            <w:r>
              <w:rPr>
                <w:rFonts w:ascii="Arial" w:hAnsi="Arial"/>
                <w:sz w:val="16"/>
              </w:rPr>
              <w:t>0.405</w:t>
            </w:r>
          </w:p>
        </w:tc>
        <w:tc>
          <w:tcPr>
            <w:tcW w:type="dxa" w:w="1271"/>
            <w:vAlign w:val="center"/>
          </w:tcPr>
          <w:p>
            <w:r>
              <w:rPr>
                <w:rFonts w:ascii="Arial" w:hAnsi="Arial"/>
                <w:sz w:val="16"/>
              </w:rPr>
              <w:t>-1.389</w:t>
            </w:r>
          </w:p>
        </w:tc>
        <w:tc>
          <w:tcPr>
            <w:tcW w:type="dxa" w:w="1271"/>
            <w:vAlign w:val="center"/>
          </w:tcPr>
          <w:p>
            <w:r>
              <w:rPr>
                <w:rFonts w:ascii="Arial" w:hAnsi="Arial"/>
                <w:sz w:val="16"/>
              </w:rPr>
              <w:t>no</w:t>
            </w:r>
          </w:p>
        </w:tc>
      </w:tr>
      <w:tr>
        <w:tc>
          <w:tcPr>
            <w:tcW w:type="dxa" w:w="1271"/>
            <w:vAlign w:val="center"/>
          </w:tcPr>
          <w:p>
            <w:r>
              <w:rPr>
                <w:rFonts w:ascii="Arial" w:hAnsi="Arial"/>
                <w:sz w:val="16"/>
              </w:rPr>
              <w:t>VinDr_external</w:t>
            </w:r>
          </w:p>
        </w:tc>
        <w:tc>
          <w:tcPr>
            <w:tcW w:type="dxa" w:w="1271"/>
            <w:vAlign w:val="center"/>
          </w:tcPr>
          <w:p>
            <w:r>
              <w:rPr>
                <w:rFonts w:ascii="Arial" w:hAnsi="Arial"/>
                <w:sz w:val="16"/>
              </w:rPr>
              <w:t>uncalibrated</w:t>
            </w:r>
          </w:p>
        </w:tc>
        <w:tc>
          <w:tcPr>
            <w:tcW w:type="dxa" w:w="1271"/>
            <w:vAlign w:val="center"/>
          </w:tcPr>
          <w:p>
            <w:r>
              <w:rPr>
                <w:rFonts w:ascii="Arial" w:hAnsi="Arial"/>
                <w:sz w:val="16"/>
              </w:rPr>
              <w:t>0.157</w:t>
            </w:r>
          </w:p>
        </w:tc>
        <w:tc>
          <w:tcPr>
            <w:tcW w:type="dxa" w:w="1271"/>
            <w:vAlign w:val="center"/>
          </w:tcPr>
          <w:p>
            <w:r>
              <w:rPr>
                <w:rFonts w:ascii="Arial" w:hAnsi="Arial"/>
                <w:sz w:val="16"/>
              </w:rPr>
              <w:t>0.197</w:t>
            </w:r>
          </w:p>
        </w:tc>
        <w:tc>
          <w:tcPr>
            <w:tcW w:type="dxa" w:w="1271"/>
            <w:vAlign w:val="center"/>
          </w:tcPr>
          <w:p>
            <w:r>
              <w:rPr>
                <w:rFonts w:ascii="Arial" w:hAnsi="Arial"/>
                <w:sz w:val="16"/>
              </w:rPr>
              <w:t>0.484</w:t>
            </w:r>
          </w:p>
        </w:tc>
        <w:tc>
          <w:tcPr>
            <w:tcW w:type="dxa" w:w="1271"/>
            <w:vAlign w:val="center"/>
          </w:tcPr>
          <w:p>
            <w:r>
              <w:rPr>
                <w:rFonts w:ascii="Arial" w:hAnsi="Arial"/>
                <w:sz w:val="16"/>
              </w:rPr>
              <w:t>1.128</w:t>
            </w:r>
          </w:p>
        </w:tc>
        <w:tc>
          <w:tcPr>
            <w:tcW w:type="dxa" w:w="1271"/>
            <w:vAlign w:val="center"/>
          </w:tcPr>
          <w:p>
            <w:r>
              <w:rPr>
                <w:rFonts w:ascii="Arial" w:hAnsi="Arial"/>
                <w:sz w:val="16"/>
              </w:rPr>
              <w:t>-1.658</w:t>
            </w:r>
          </w:p>
        </w:tc>
        <w:tc>
          <w:tcPr>
            <w:tcW w:type="dxa" w:w="1271"/>
            <w:vAlign w:val="center"/>
          </w:tcPr>
          <w:p>
            <w:r>
              <w:rPr>
                <w:rFonts w:ascii="Arial" w:hAnsi="Arial"/>
                <w:sz w:val="16"/>
              </w:rPr>
              <w:t>no</w:t>
            </w:r>
          </w:p>
        </w:tc>
      </w:tr>
      <w:tr>
        <w:tc>
          <w:tcPr>
            <w:tcW w:type="dxa" w:w="1271"/>
            <w:vAlign w:val="center"/>
          </w:tcPr>
          <w:p>
            <w:r>
              <w:rPr>
                <w:rFonts w:ascii="Arial" w:hAnsi="Arial"/>
                <w:sz w:val="16"/>
              </w:rPr>
              <w:t>VinDr_external</w:t>
            </w:r>
          </w:p>
        </w:tc>
        <w:tc>
          <w:tcPr>
            <w:tcW w:type="dxa" w:w="1271"/>
            <w:vAlign w:val="center"/>
          </w:tcPr>
          <w:p>
            <w:r>
              <w:rPr>
                <w:rFonts w:ascii="Arial" w:hAnsi="Arial"/>
                <w:sz w:val="16"/>
              </w:rPr>
              <w:t>temperature</w:t>
            </w:r>
          </w:p>
        </w:tc>
        <w:tc>
          <w:tcPr>
            <w:tcW w:type="dxa" w:w="1271"/>
            <w:vAlign w:val="center"/>
          </w:tcPr>
          <w:p>
            <w:r>
              <w:rPr>
                <w:rFonts w:ascii="Arial" w:hAnsi="Arial"/>
                <w:sz w:val="16"/>
              </w:rPr>
              <w:t>0.159</w:t>
            </w:r>
          </w:p>
        </w:tc>
        <w:tc>
          <w:tcPr>
            <w:tcW w:type="dxa" w:w="1271"/>
            <w:vAlign w:val="center"/>
          </w:tcPr>
          <w:p>
            <w:r>
              <w:rPr>
                <w:rFonts w:ascii="Arial" w:hAnsi="Arial"/>
                <w:sz w:val="16"/>
              </w:rPr>
              <w:t>0.214</w:t>
            </w:r>
          </w:p>
        </w:tc>
        <w:tc>
          <w:tcPr>
            <w:tcW w:type="dxa" w:w="1271"/>
            <w:vAlign w:val="center"/>
          </w:tcPr>
          <w:p>
            <w:r>
              <w:rPr>
                <w:rFonts w:ascii="Arial" w:hAnsi="Arial"/>
                <w:sz w:val="16"/>
              </w:rPr>
              <w:t>0.452</w:t>
            </w:r>
          </w:p>
        </w:tc>
        <w:tc>
          <w:tcPr>
            <w:tcW w:type="dxa" w:w="1271"/>
            <w:vAlign w:val="center"/>
          </w:tcPr>
          <w:p>
            <w:r>
              <w:rPr>
                <w:rFonts w:ascii="Arial" w:hAnsi="Arial"/>
                <w:sz w:val="16"/>
              </w:rPr>
              <w:t>1.466</w:t>
            </w:r>
          </w:p>
        </w:tc>
        <w:tc>
          <w:tcPr>
            <w:tcW w:type="dxa" w:w="1271"/>
            <w:vAlign w:val="center"/>
          </w:tcPr>
          <w:p>
            <w:r>
              <w:rPr>
                <w:rFonts w:ascii="Arial" w:hAnsi="Arial"/>
                <w:sz w:val="16"/>
              </w:rPr>
              <w:t>-1.657</w:t>
            </w:r>
          </w:p>
        </w:tc>
        <w:tc>
          <w:tcPr>
            <w:tcW w:type="dxa" w:w="1271"/>
            <w:vAlign w:val="center"/>
          </w:tcPr>
          <w:p>
            <w:r>
              <w:rPr>
                <w:rFonts w:ascii="Arial" w:hAnsi="Arial"/>
                <w:sz w:val="16"/>
              </w:rPr>
              <w:t>no</w:t>
            </w:r>
          </w:p>
        </w:tc>
      </w:tr>
      <w:tr>
        <w:tc>
          <w:tcPr>
            <w:tcW w:type="dxa" w:w="1271"/>
            <w:vAlign w:val="center"/>
          </w:tcPr>
          <w:p>
            <w:r>
              <w:rPr>
                <w:rFonts w:ascii="Arial" w:hAnsi="Arial"/>
                <w:sz w:val="16"/>
              </w:rPr>
              <w:t>VinDr_external</w:t>
            </w:r>
          </w:p>
        </w:tc>
        <w:tc>
          <w:tcPr>
            <w:tcW w:type="dxa" w:w="1271"/>
            <w:vAlign w:val="center"/>
          </w:tcPr>
          <w:p>
            <w:r>
              <w:rPr>
                <w:rFonts w:ascii="Arial" w:hAnsi="Arial"/>
                <w:sz w:val="16"/>
              </w:rPr>
              <w:t>platt</w:t>
            </w:r>
          </w:p>
        </w:tc>
        <w:tc>
          <w:tcPr>
            <w:tcW w:type="dxa" w:w="1271"/>
            <w:vAlign w:val="center"/>
          </w:tcPr>
          <w:p>
            <w:r>
              <w:rPr>
                <w:rFonts w:ascii="Arial" w:hAnsi="Arial"/>
                <w:sz w:val="16"/>
              </w:rPr>
              <w:t>0.120</w:t>
            </w:r>
          </w:p>
        </w:tc>
        <w:tc>
          <w:tcPr>
            <w:tcW w:type="dxa" w:w="1271"/>
            <w:vAlign w:val="center"/>
          </w:tcPr>
          <w:p>
            <w:r>
              <w:rPr>
                <w:rFonts w:ascii="Arial" w:hAnsi="Arial"/>
                <w:sz w:val="16"/>
              </w:rPr>
              <w:t>0.099</w:t>
            </w:r>
          </w:p>
        </w:tc>
        <w:tc>
          <w:tcPr>
            <w:tcW w:type="dxa" w:w="1271"/>
            <w:vAlign w:val="center"/>
          </w:tcPr>
          <w:p>
            <w:r>
              <w:rPr>
                <w:rFonts w:ascii="Arial" w:hAnsi="Arial"/>
                <w:sz w:val="16"/>
              </w:rPr>
              <w:t>0.236</w:t>
            </w:r>
          </w:p>
        </w:tc>
        <w:tc>
          <w:tcPr>
            <w:tcW w:type="dxa" w:w="1271"/>
            <w:vAlign w:val="center"/>
          </w:tcPr>
          <w:p>
            <w:r>
              <w:rPr>
                <w:rFonts w:ascii="Arial" w:hAnsi="Arial"/>
                <w:sz w:val="16"/>
              </w:rPr>
              <w:t>2.436</w:t>
            </w:r>
          </w:p>
        </w:tc>
        <w:tc>
          <w:tcPr>
            <w:tcW w:type="dxa" w:w="1271"/>
            <w:vAlign w:val="center"/>
          </w:tcPr>
          <w:p>
            <w:r>
              <w:rPr>
                <w:rFonts w:ascii="Arial" w:hAnsi="Arial"/>
                <w:sz w:val="16"/>
              </w:rPr>
              <w:t>3.957</w:t>
            </w:r>
          </w:p>
        </w:tc>
        <w:tc>
          <w:tcPr>
            <w:tcW w:type="dxa" w:w="1271"/>
            <w:vAlign w:val="center"/>
          </w:tcPr>
          <w:p>
            <w:r>
              <w:rPr>
                <w:rFonts w:ascii="Arial" w:hAnsi="Arial"/>
                <w:sz w:val="16"/>
              </w:rPr>
              <w:t>no</w:t>
            </w:r>
          </w:p>
        </w:tc>
      </w:tr>
      <w:tr>
        <w:tc>
          <w:tcPr>
            <w:tcW w:type="dxa" w:w="1271"/>
            <w:vAlign w:val="center"/>
          </w:tcPr>
          <w:p>
            <w:r>
              <w:rPr>
                <w:rFonts w:ascii="Arial" w:hAnsi="Arial"/>
                <w:sz w:val="16"/>
              </w:rPr>
              <w:t>VinDr_external</w:t>
            </w:r>
          </w:p>
        </w:tc>
        <w:tc>
          <w:tcPr>
            <w:tcW w:type="dxa" w:w="1271"/>
            <w:vAlign w:val="center"/>
          </w:tcPr>
          <w:p>
            <w:r>
              <w:rPr>
                <w:rFonts w:ascii="Arial" w:hAnsi="Arial"/>
                <w:sz w:val="16"/>
              </w:rPr>
              <w:t>isotonic</w:t>
            </w:r>
          </w:p>
        </w:tc>
        <w:tc>
          <w:tcPr>
            <w:tcW w:type="dxa" w:w="1271"/>
            <w:vAlign w:val="center"/>
          </w:tcPr>
          <w:p>
            <w:r>
              <w:rPr>
                <w:rFonts w:ascii="Arial" w:hAnsi="Arial"/>
                <w:sz w:val="16"/>
              </w:rPr>
              <w:t>0.119</w:t>
            </w:r>
          </w:p>
        </w:tc>
        <w:tc>
          <w:tcPr>
            <w:tcW w:type="dxa" w:w="1271"/>
            <w:vAlign w:val="center"/>
          </w:tcPr>
          <w:p>
            <w:r>
              <w:rPr>
                <w:rFonts w:ascii="Arial" w:hAnsi="Arial"/>
                <w:sz w:val="16"/>
              </w:rPr>
              <w:t>0.095</w:t>
            </w:r>
          </w:p>
        </w:tc>
        <w:tc>
          <w:tcPr>
            <w:tcW w:type="dxa" w:w="1271"/>
            <w:vAlign w:val="center"/>
          </w:tcPr>
          <w:p>
            <w:r>
              <w:rPr>
                <w:rFonts w:ascii="Arial" w:hAnsi="Arial"/>
                <w:sz w:val="16"/>
              </w:rPr>
              <w:t>0.322</w:t>
            </w:r>
          </w:p>
        </w:tc>
        <w:tc>
          <w:tcPr>
            <w:tcW w:type="dxa" w:w="1271"/>
            <w:vAlign w:val="center"/>
          </w:tcPr>
          <w:p>
            <w:r>
              <w:rPr>
                <w:rFonts w:ascii="Arial" w:hAnsi="Arial"/>
                <w:sz w:val="16"/>
              </w:rPr>
              <w:t>1.159</w:t>
            </w:r>
          </w:p>
        </w:tc>
        <w:tc>
          <w:tcPr>
            <w:tcW w:type="dxa" w:w="1271"/>
            <w:vAlign w:val="center"/>
          </w:tcPr>
          <w:p>
            <w:r>
              <w:rPr>
                <w:rFonts w:ascii="Arial" w:hAnsi="Arial"/>
                <w:sz w:val="16"/>
              </w:rPr>
              <w:t>0.548</w:t>
            </w:r>
          </w:p>
        </w:tc>
        <w:tc>
          <w:tcPr>
            <w:tcW w:type="dxa" w:w="1271"/>
            <w:vAlign w:val="center"/>
          </w:tcPr>
          <w:p>
            <w:r>
              <w:rPr>
                <w:rFonts w:ascii="Arial" w:hAnsi="Arial"/>
                <w:sz w:val="16"/>
              </w:rPr>
              <w:t>no</w:t>
            </w:r>
          </w:p>
        </w:tc>
      </w:tr>
    </w:tbl>
    <w:p>
      <w:pPr>
        <w:pStyle w:val="Heading2"/>
      </w:pPr>
      <w:r>
        <w:t>Table 6. Subgroup and sensitivity analysis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D9EAF7"/>
          </w:tcPr>
          <w:p>
            <w:r>
              <w:rPr>
                <w:rFonts w:ascii="Arial" w:hAnsi="Arial"/>
                <w:b/>
                <w:sz w:val="16"/>
              </w:rPr>
              <w:t>dataset</w:t>
            </w:r>
          </w:p>
        </w:tc>
        <w:tc>
          <w:tcPr>
            <w:tcW w:type="dxa" w:w="1452"/>
            <w:vAlign w:val="center"/>
            <w:shd w:fill="D9EAF7"/>
          </w:tcPr>
          <w:p>
            <w:r>
              <w:rPr>
                <w:rFonts w:ascii="Arial" w:hAnsi="Arial"/>
                <w:b/>
                <w:sz w:val="16"/>
              </w:rPr>
              <w:t>subgroup_variable</w:t>
            </w:r>
          </w:p>
        </w:tc>
        <w:tc>
          <w:tcPr>
            <w:tcW w:type="dxa" w:w="1452"/>
            <w:vAlign w:val="center"/>
            <w:shd w:fill="D9EAF7"/>
          </w:tcPr>
          <w:p>
            <w:r>
              <w:rPr>
                <w:rFonts w:ascii="Arial" w:hAnsi="Arial"/>
                <w:b/>
                <w:sz w:val="16"/>
              </w:rPr>
              <w:t>subgroup</w:t>
            </w:r>
          </w:p>
        </w:tc>
        <w:tc>
          <w:tcPr>
            <w:tcW w:type="dxa" w:w="1452"/>
            <w:vAlign w:val="center"/>
            <w:shd w:fill="D9EAF7"/>
          </w:tcPr>
          <w:p>
            <w:r>
              <w:rPr>
                <w:rFonts w:ascii="Arial" w:hAnsi="Arial"/>
                <w:b/>
                <w:sz w:val="16"/>
              </w:rPr>
              <w:t>n_images</w:t>
            </w:r>
          </w:p>
        </w:tc>
        <w:tc>
          <w:tcPr>
            <w:tcW w:type="dxa" w:w="1452"/>
            <w:vAlign w:val="center"/>
            <w:shd w:fill="D9EAF7"/>
          </w:tcPr>
          <w:p>
            <w:r>
              <w:rPr>
                <w:rFonts w:ascii="Arial" w:hAnsi="Arial"/>
                <w:b/>
                <w:sz w:val="16"/>
              </w:rPr>
              <w:t>all_label_macro_auroc</w:t>
            </w:r>
          </w:p>
        </w:tc>
        <w:tc>
          <w:tcPr>
            <w:tcW w:type="dxa" w:w="1452"/>
            <w:vAlign w:val="center"/>
            <w:shd w:fill="D9EAF7"/>
          </w:tcPr>
          <w:p>
            <w:r>
              <w:rPr>
                <w:rFonts w:ascii="Arial" w:hAnsi="Arial"/>
                <w:b/>
                <w:sz w:val="16"/>
              </w:rPr>
              <w:t>all_label_macro_auprc</w:t>
            </w:r>
          </w:p>
        </w:tc>
        <w:tc>
          <w:tcPr>
            <w:tcW w:type="dxa" w:w="1452"/>
            <w:vAlign w:val="center"/>
            <w:shd w:fill="D9EAF7"/>
          </w:tcPr>
          <w:p>
            <w:r>
              <w:rPr>
                <w:rFonts w:ascii="Arial" w:hAnsi="Arial"/>
                <w:b/>
                <w:sz w:val="16"/>
              </w:rPr>
              <w:t>analysis_status</w:t>
            </w:r>
          </w:p>
        </w:tc>
      </w:tr>
      <w:tr>
        <w:tc>
          <w:tcPr>
            <w:tcW w:type="dxa" w:w="1452"/>
            <w:vAlign w:val="center"/>
          </w:tcPr>
          <w:p>
            <w:r>
              <w:rPr>
                <w:rFonts w:ascii="Arial" w:hAnsi="Arial"/>
                <w:sz w:val="16"/>
              </w:rPr>
              <w:t>NIH internal test</w:t>
            </w:r>
          </w:p>
        </w:tc>
        <w:tc>
          <w:tcPr>
            <w:tcW w:type="dxa" w:w="1452"/>
            <w:vAlign w:val="center"/>
          </w:tcPr>
          <w:p>
            <w:r>
              <w:rPr>
                <w:rFonts w:ascii="Arial" w:hAnsi="Arial"/>
                <w:sz w:val="16"/>
              </w:rPr>
              <w:t>sex</w:t>
            </w:r>
          </w:p>
        </w:tc>
        <w:tc>
          <w:tcPr>
            <w:tcW w:type="dxa" w:w="1452"/>
            <w:vAlign w:val="center"/>
          </w:tcPr>
          <w:p>
            <w:r>
              <w:rPr>
                <w:rFonts w:ascii="Arial" w:hAnsi="Arial"/>
                <w:sz w:val="16"/>
              </w:rPr>
              <w:t>F</w:t>
            </w:r>
          </w:p>
        </w:tc>
        <w:tc>
          <w:tcPr>
            <w:tcW w:type="dxa" w:w="1452"/>
            <w:vAlign w:val="center"/>
          </w:tcPr>
          <w:p>
            <w:r>
              <w:rPr>
                <w:rFonts w:ascii="Arial" w:hAnsi="Arial"/>
                <w:sz w:val="16"/>
              </w:rPr>
              <w:t>299</w:t>
            </w:r>
          </w:p>
        </w:tc>
        <w:tc>
          <w:tcPr>
            <w:tcW w:type="dxa" w:w="1452"/>
            <w:vAlign w:val="center"/>
          </w:tcPr>
          <w:p>
            <w:r>
              <w:rPr>
                <w:rFonts w:ascii="Arial" w:hAnsi="Arial"/>
                <w:sz w:val="16"/>
              </w:rPr>
              <w:t>0.681</w:t>
            </w:r>
          </w:p>
        </w:tc>
        <w:tc>
          <w:tcPr>
            <w:tcW w:type="dxa" w:w="1452"/>
            <w:vAlign w:val="center"/>
          </w:tcPr>
          <w:p>
            <w:r>
              <w:rPr>
                <w:rFonts w:ascii="Arial" w:hAnsi="Arial"/>
                <w:sz w:val="16"/>
              </w:rPr>
              <w:t>0.246</w:t>
            </w:r>
          </w:p>
        </w:tc>
        <w:tc>
          <w:tcPr>
            <w:tcW w:type="dxa" w:w="1452"/>
            <w:vAlign w:val="center"/>
          </w:tcPr>
          <w:p>
            <w:r>
              <w:rPr>
                <w:rFonts w:ascii="Arial" w:hAnsi="Arial"/>
                <w:sz w:val="16"/>
              </w:rPr>
              <w:t>descriptive; not powered for fairness inference</w:t>
            </w:r>
          </w:p>
        </w:tc>
      </w:tr>
      <w:tr>
        <w:tc>
          <w:tcPr>
            <w:tcW w:type="dxa" w:w="1452"/>
            <w:vAlign w:val="center"/>
          </w:tcPr>
          <w:p>
            <w:r>
              <w:rPr>
                <w:rFonts w:ascii="Arial" w:hAnsi="Arial"/>
                <w:sz w:val="16"/>
              </w:rPr>
              <w:t>NIH internal test</w:t>
            </w:r>
          </w:p>
        </w:tc>
        <w:tc>
          <w:tcPr>
            <w:tcW w:type="dxa" w:w="1452"/>
            <w:vAlign w:val="center"/>
          </w:tcPr>
          <w:p>
            <w:r>
              <w:rPr>
                <w:rFonts w:ascii="Arial" w:hAnsi="Arial"/>
                <w:sz w:val="16"/>
              </w:rPr>
              <w:t>sex</w:t>
            </w:r>
          </w:p>
        </w:tc>
        <w:tc>
          <w:tcPr>
            <w:tcW w:type="dxa" w:w="1452"/>
            <w:vAlign w:val="center"/>
          </w:tcPr>
          <w:p>
            <w:r>
              <w:rPr>
                <w:rFonts w:ascii="Arial" w:hAnsi="Arial"/>
                <w:sz w:val="16"/>
              </w:rPr>
              <w:t>M</w:t>
            </w:r>
          </w:p>
        </w:tc>
        <w:tc>
          <w:tcPr>
            <w:tcW w:type="dxa" w:w="1452"/>
            <w:vAlign w:val="center"/>
          </w:tcPr>
          <w:p>
            <w:r>
              <w:rPr>
                <w:rFonts w:ascii="Arial" w:hAnsi="Arial"/>
                <w:sz w:val="16"/>
              </w:rPr>
              <w:t>440</w:t>
            </w:r>
          </w:p>
        </w:tc>
        <w:tc>
          <w:tcPr>
            <w:tcW w:type="dxa" w:w="1452"/>
            <w:vAlign w:val="center"/>
          </w:tcPr>
          <w:p>
            <w:r>
              <w:rPr>
                <w:rFonts w:ascii="Arial" w:hAnsi="Arial"/>
                <w:sz w:val="16"/>
              </w:rPr>
              <w:t>0.674</w:t>
            </w:r>
          </w:p>
        </w:tc>
        <w:tc>
          <w:tcPr>
            <w:tcW w:type="dxa" w:w="1452"/>
            <w:vAlign w:val="center"/>
          </w:tcPr>
          <w:p>
            <w:r>
              <w:rPr>
                <w:rFonts w:ascii="Arial" w:hAnsi="Arial"/>
                <w:sz w:val="16"/>
              </w:rPr>
              <w:t>0.189</w:t>
            </w:r>
          </w:p>
        </w:tc>
        <w:tc>
          <w:tcPr>
            <w:tcW w:type="dxa" w:w="1452"/>
            <w:vAlign w:val="center"/>
          </w:tcPr>
          <w:p>
            <w:r>
              <w:rPr>
                <w:rFonts w:ascii="Arial" w:hAnsi="Arial"/>
                <w:sz w:val="16"/>
              </w:rPr>
              <w:t>descriptive; not powered for fairness inference</w:t>
            </w:r>
          </w:p>
        </w:tc>
      </w:tr>
      <w:tr>
        <w:tc>
          <w:tcPr>
            <w:tcW w:type="dxa" w:w="1452"/>
            <w:vAlign w:val="center"/>
          </w:tcPr>
          <w:p>
            <w:r>
              <w:rPr>
                <w:rFonts w:ascii="Arial" w:hAnsi="Arial"/>
                <w:sz w:val="16"/>
              </w:rPr>
              <w:t>NIH internal test</w:t>
            </w:r>
          </w:p>
        </w:tc>
        <w:tc>
          <w:tcPr>
            <w:tcW w:type="dxa" w:w="1452"/>
            <w:vAlign w:val="center"/>
          </w:tcPr>
          <w:p>
            <w:r>
              <w:rPr>
                <w:rFonts w:ascii="Arial" w:hAnsi="Arial"/>
                <w:sz w:val="16"/>
              </w:rPr>
              <w:t>view_position</w:t>
            </w:r>
          </w:p>
        </w:tc>
        <w:tc>
          <w:tcPr>
            <w:tcW w:type="dxa" w:w="1452"/>
            <w:vAlign w:val="center"/>
          </w:tcPr>
          <w:p>
            <w:r>
              <w:rPr>
                <w:rFonts w:ascii="Arial" w:hAnsi="Arial"/>
                <w:sz w:val="16"/>
              </w:rPr>
              <w:t>AP</w:t>
            </w:r>
          </w:p>
        </w:tc>
        <w:tc>
          <w:tcPr>
            <w:tcW w:type="dxa" w:w="1452"/>
            <w:vAlign w:val="center"/>
          </w:tcPr>
          <w:p>
            <w:r>
              <w:rPr>
                <w:rFonts w:ascii="Arial" w:hAnsi="Arial"/>
                <w:sz w:val="16"/>
              </w:rPr>
              <w:t>356</w:t>
            </w:r>
          </w:p>
        </w:tc>
        <w:tc>
          <w:tcPr>
            <w:tcW w:type="dxa" w:w="1452"/>
            <w:vAlign w:val="center"/>
          </w:tcPr>
          <w:p>
            <w:r>
              <w:rPr>
                <w:rFonts w:ascii="Arial" w:hAnsi="Arial"/>
                <w:sz w:val="16"/>
              </w:rPr>
              <w:t>0.652</w:t>
            </w:r>
          </w:p>
        </w:tc>
        <w:tc>
          <w:tcPr>
            <w:tcW w:type="dxa" w:w="1452"/>
            <w:vAlign w:val="center"/>
          </w:tcPr>
          <w:p>
            <w:r>
              <w:rPr>
                <w:rFonts w:ascii="Arial" w:hAnsi="Arial"/>
                <w:sz w:val="16"/>
              </w:rPr>
              <w:t>0.202</w:t>
            </w:r>
          </w:p>
        </w:tc>
        <w:tc>
          <w:tcPr>
            <w:tcW w:type="dxa" w:w="1452"/>
            <w:vAlign w:val="center"/>
          </w:tcPr>
          <w:p>
            <w:r>
              <w:rPr>
                <w:rFonts w:ascii="Arial" w:hAnsi="Arial"/>
                <w:sz w:val="16"/>
              </w:rPr>
              <w:t>descriptive; not powered for fairness inference</w:t>
            </w:r>
          </w:p>
        </w:tc>
      </w:tr>
      <w:tr>
        <w:tc>
          <w:tcPr>
            <w:tcW w:type="dxa" w:w="1452"/>
            <w:vAlign w:val="center"/>
          </w:tcPr>
          <w:p>
            <w:r>
              <w:rPr>
                <w:rFonts w:ascii="Arial" w:hAnsi="Arial"/>
                <w:sz w:val="16"/>
              </w:rPr>
              <w:t>NIH internal test</w:t>
            </w:r>
          </w:p>
        </w:tc>
        <w:tc>
          <w:tcPr>
            <w:tcW w:type="dxa" w:w="1452"/>
            <w:vAlign w:val="center"/>
          </w:tcPr>
          <w:p>
            <w:r>
              <w:rPr>
                <w:rFonts w:ascii="Arial" w:hAnsi="Arial"/>
                <w:sz w:val="16"/>
              </w:rPr>
              <w:t>view_position</w:t>
            </w:r>
          </w:p>
        </w:tc>
        <w:tc>
          <w:tcPr>
            <w:tcW w:type="dxa" w:w="1452"/>
            <w:vAlign w:val="center"/>
          </w:tcPr>
          <w:p>
            <w:r>
              <w:rPr>
                <w:rFonts w:ascii="Arial" w:hAnsi="Arial"/>
                <w:sz w:val="16"/>
              </w:rPr>
              <w:t>PA</w:t>
            </w:r>
          </w:p>
        </w:tc>
        <w:tc>
          <w:tcPr>
            <w:tcW w:type="dxa" w:w="1452"/>
            <w:vAlign w:val="center"/>
          </w:tcPr>
          <w:p>
            <w:r>
              <w:rPr>
                <w:rFonts w:ascii="Arial" w:hAnsi="Arial"/>
                <w:sz w:val="16"/>
              </w:rPr>
              <w:t>383</w:t>
            </w:r>
          </w:p>
        </w:tc>
        <w:tc>
          <w:tcPr>
            <w:tcW w:type="dxa" w:w="1452"/>
            <w:vAlign w:val="center"/>
          </w:tcPr>
          <w:p>
            <w:r>
              <w:rPr>
                <w:rFonts w:ascii="Arial" w:hAnsi="Arial"/>
                <w:sz w:val="16"/>
              </w:rPr>
              <w:t>0.678</w:t>
            </w:r>
          </w:p>
        </w:tc>
        <w:tc>
          <w:tcPr>
            <w:tcW w:type="dxa" w:w="1452"/>
            <w:vAlign w:val="center"/>
          </w:tcPr>
          <w:p>
            <w:r>
              <w:rPr>
                <w:rFonts w:ascii="Arial" w:hAnsi="Arial"/>
                <w:sz w:val="16"/>
              </w:rPr>
              <w:t>0.232</w:t>
            </w:r>
          </w:p>
        </w:tc>
        <w:tc>
          <w:tcPr>
            <w:tcW w:type="dxa" w:w="1452"/>
            <w:vAlign w:val="center"/>
          </w:tcPr>
          <w:p>
            <w:r>
              <w:rPr>
                <w:rFonts w:ascii="Arial" w:hAnsi="Arial"/>
                <w:sz w:val="16"/>
              </w:rPr>
              <w:t>descriptive; not powered for fairness inference</w:t>
            </w:r>
          </w:p>
        </w:tc>
      </w:tr>
      <w:tr>
        <w:tc>
          <w:tcPr>
            <w:tcW w:type="dxa" w:w="1452"/>
            <w:vAlign w:val="center"/>
          </w:tcPr>
          <w:p>
            <w:r>
              <w:rPr>
                <w:rFonts w:ascii="Arial" w:hAnsi="Arial"/>
                <w:sz w:val="16"/>
              </w:rPr>
              <w:t>VinDr external</w:t>
            </w:r>
          </w:p>
        </w:tc>
        <w:tc>
          <w:tcPr>
            <w:tcW w:type="dxa" w:w="1452"/>
            <w:vAlign w:val="center"/>
          </w:tcPr>
          <w:p>
            <w:r>
              <w:rPr>
                <w:rFonts w:ascii="Arial" w:hAnsi="Arial"/>
                <w:sz w:val="16"/>
              </w:rPr>
              <w:t>age/sex/view_position</w:t>
            </w:r>
          </w:p>
        </w:tc>
        <w:tc>
          <w:tcPr>
            <w:tcW w:type="dxa" w:w="1452"/>
            <w:vAlign w:val="center"/>
          </w:tcPr>
          <w:p>
            <w:r>
              <w:rPr>
                <w:rFonts w:ascii="Arial" w:hAnsi="Arial"/>
                <w:sz w:val="16"/>
              </w:rPr>
              <w:t>not analyzed</w:t>
            </w:r>
          </w:p>
        </w:tc>
        <w:tc>
          <w:tcPr>
            <w:tcW w:type="dxa" w:w="1452"/>
            <w:vAlign w:val="center"/>
          </w:tcPr>
          <w:p>
            <w:r>
              <w:rPr>
                <w:rFonts w:ascii="Arial" w:hAnsi="Arial"/>
                <w:sz w:val="16"/>
              </w:rPr>
              <w:t>1000</w:t>
            </w:r>
          </w:p>
        </w:tc>
        <w:tc>
          <w:tcPr>
            <w:tcW w:type="dxa" w:w="1452"/>
            <w:vAlign w:val="center"/>
          </w:tcPr>
          <w:p>
            <w:r>
              <w:rPr>
                <w:rFonts w:ascii="Arial" w:hAnsi="Arial"/>
                <w:sz w:val="16"/>
              </w:rPr>
              <w:t>NA</w:t>
            </w:r>
          </w:p>
        </w:tc>
        <w:tc>
          <w:tcPr>
            <w:tcW w:type="dxa" w:w="1452"/>
            <w:vAlign w:val="center"/>
          </w:tcPr>
          <w:p>
            <w:r>
              <w:rPr>
                <w:rFonts w:ascii="Arial" w:hAnsi="Arial"/>
                <w:sz w:val="16"/>
              </w:rPr>
              <w:t>NA</w:t>
            </w:r>
          </w:p>
        </w:tc>
        <w:tc>
          <w:tcPr>
            <w:tcW w:type="dxa" w:w="1452"/>
            <w:vAlign w:val="center"/>
          </w:tcPr>
          <w:p>
            <w:r>
              <w:rPr>
                <w:rFonts w:ascii="Arial" w:hAnsi="Arial"/>
                <w:sz w:val="16"/>
              </w:rPr>
              <w:t>cached external subset lacks reliable age/sex metadata</w:t>
            </w:r>
          </w:p>
        </w:tc>
      </w:tr>
    </w:tbl>
    <w:p>
      <w:pPr>
        <w:pStyle w:val="Heading1"/>
      </w:pPr>
      <w:r>
        <w:t>Figures</w:t>
      </w:r>
    </w:p>
    <w:p>
      <w:pPr>
        <w:pStyle w:val="Heading2"/>
      </w:pPr>
      <w:r>
        <w:t>Figure 1. Study workflow</w:t>
      </w:r>
    </w:p>
    <w:p>
      <w:pPr>
        <w:jc w:val="center"/>
      </w:pPr>
      <w:r>
        <w:drawing>
          <wp:inline xmlns:a="http://schemas.openxmlformats.org/drawingml/2006/main" xmlns:pic="http://schemas.openxmlformats.org/drawingml/2006/picture">
            <wp:extent cx="5852160" cy="2275840"/>
            <wp:docPr id="1" name="Picture 1"/>
            <wp:cNvGraphicFramePr>
              <a:graphicFrameLocks noChangeAspect="1"/>
            </wp:cNvGraphicFramePr>
            <a:graphic>
              <a:graphicData uri="http://schemas.openxmlformats.org/drawingml/2006/picture">
                <pic:pic>
                  <pic:nvPicPr>
                    <pic:cNvPr id="0" name="figure1_study_workflow_three_models.jpg"/>
                    <pic:cNvPicPr/>
                  </pic:nvPicPr>
                  <pic:blipFill>
                    <a:blip r:embed="rId9"/>
                    <a:stretch>
                      <a:fillRect/>
                    </a:stretch>
                  </pic:blipFill>
                  <pic:spPr>
                    <a:xfrm>
                      <a:off x="0" y="0"/>
                      <a:ext cx="5852160" cy="2275840"/>
                    </a:xfrm>
                    <a:prstGeom prst="rect"/>
                  </pic:spPr>
                </pic:pic>
              </a:graphicData>
            </a:graphic>
          </wp:inline>
        </w:drawing>
      </w:r>
    </w:p>
    <w:p>
      <w:pPr>
        <w:pStyle w:val="Caption"/>
      </w:pPr>
      <w:r>
        <w:t>The workflow separates NIH training, validation threshold selection, NIH-only calibration fitting, internal testing, and independent VinDr external validation.</w:t>
      </w:r>
    </w:p>
    <w:p>
      <w:pPr>
        <w:pStyle w:val="Heading2"/>
      </w:pPr>
      <w:r>
        <w:t>Figure 2. DenseNet121 internal and external AUROC/AUPRC</w:t>
      </w:r>
    </w:p>
    <w:p>
      <w:pPr>
        <w:jc w:val="center"/>
      </w:pPr>
      <w:r>
        <w:drawing>
          <wp:inline xmlns:a="http://schemas.openxmlformats.org/drawingml/2006/main" xmlns:pic="http://schemas.openxmlformats.org/drawingml/2006/picture">
            <wp:extent cx="5852160" cy="2868706"/>
            <wp:docPr id="2" name="Picture 2"/>
            <wp:cNvGraphicFramePr>
              <a:graphicFrameLocks noChangeAspect="1"/>
            </wp:cNvGraphicFramePr>
            <a:graphic>
              <a:graphicData uri="http://schemas.openxmlformats.org/drawingml/2006/picture">
                <pic:pic>
                  <pic:nvPicPr>
                    <pic:cNvPr id="0" name="figure2_densenet121_internal_external_ci.jpg"/>
                    <pic:cNvPicPr/>
                  </pic:nvPicPr>
                  <pic:blipFill>
                    <a:blip r:embed="rId10"/>
                    <a:stretch>
                      <a:fillRect/>
                    </a:stretch>
                  </pic:blipFill>
                  <pic:spPr>
                    <a:xfrm>
                      <a:off x="0" y="0"/>
                      <a:ext cx="5852160" cy="2868706"/>
                    </a:xfrm>
                    <a:prstGeom prst="rect"/>
                  </pic:spPr>
                </pic:pic>
              </a:graphicData>
            </a:graphic>
          </wp:inline>
        </w:drawing>
      </w:r>
    </w:p>
    <w:p>
      <w:pPr>
        <w:pStyle w:val="Caption"/>
      </w:pPr>
      <w:r>
        <w:t>Label-wise AUROC and AUPRC with 95% bootstrap intervals. Edema and Pneumonia are marked NA externally because the analyzed external subset had zero positive cases.</w:t>
      </w:r>
    </w:p>
    <w:p>
      <w:pPr>
        <w:pStyle w:val="Heading2"/>
      </w:pPr>
      <w:r>
        <w:t>Figure 3. AUPRC baseline and lift</w:t>
      </w:r>
    </w:p>
    <w:p>
      <w:pPr>
        <w:jc w:val="center"/>
      </w:pPr>
      <w:r>
        <w:drawing>
          <wp:inline xmlns:a="http://schemas.openxmlformats.org/drawingml/2006/main" xmlns:pic="http://schemas.openxmlformats.org/drawingml/2006/picture">
            <wp:extent cx="5852160" cy="2234461"/>
            <wp:docPr id="3" name="Picture 3"/>
            <wp:cNvGraphicFramePr>
              <a:graphicFrameLocks noChangeAspect="1"/>
            </wp:cNvGraphicFramePr>
            <a:graphic>
              <a:graphicData uri="http://schemas.openxmlformats.org/drawingml/2006/picture">
                <pic:pic>
                  <pic:nvPicPr>
                    <pic:cNvPr id="0" name="figure3_prevalence_auprc_baseline_lift.jpg"/>
                    <pic:cNvPicPr/>
                  </pic:nvPicPr>
                  <pic:blipFill>
                    <a:blip r:embed="rId11"/>
                    <a:stretch>
                      <a:fillRect/>
                    </a:stretch>
                  </pic:blipFill>
                  <pic:spPr>
                    <a:xfrm>
                      <a:off x="0" y="0"/>
                      <a:ext cx="5852160" cy="2234461"/>
                    </a:xfrm>
                    <a:prstGeom prst="rect"/>
                  </pic:spPr>
                </pic:pic>
              </a:graphicData>
            </a:graphic>
          </wp:inline>
        </w:drawing>
      </w:r>
    </w:p>
    <w:p>
      <w:pPr>
        <w:pStyle w:val="Caption"/>
      </w:pPr>
      <w:r>
        <w:t>Observed AUPRC is shown against prevalence baseline to contextualize precision-recall performance under label imbalance.</w:t>
      </w:r>
    </w:p>
    <w:p>
      <w:pPr>
        <w:pStyle w:val="Heading2"/>
      </w:pPr>
      <w:r>
        <w:t>Figure 4. Calibration curves</w:t>
      </w:r>
    </w:p>
    <w:p>
      <w:pPr>
        <w:jc w:val="center"/>
      </w:pPr>
      <w:r>
        <w:drawing>
          <wp:inline xmlns:a="http://schemas.openxmlformats.org/drawingml/2006/main" xmlns:pic="http://schemas.openxmlformats.org/drawingml/2006/picture">
            <wp:extent cx="5852160" cy="2817034"/>
            <wp:docPr id="4" name="Picture 4"/>
            <wp:cNvGraphicFramePr>
              <a:graphicFrameLocks noChangeAspect="1"/>
            </wp:cNvGraphicFramePr>
            <a:graphic>
              <a:graphicData uri="http://schemas.openxmlformats.org/drawingml/2006/picture">
                <pic:pic>
                  <pic:nvPicPr>
                    <pic:cNvPr id="0" name="figure4_calibration_curves_upgraded.jpg"/>
                    <pic:cNvPicPr/>
                  </pic:nvPicPr>
                  <pic:blipFill>
                    <a:blip r:embed="rId12"/>
                    <a:stretch>
                      <a:fillRect/>
                    </a:stretch>
                  </pic:blipFill>
                  <pic:spPr>
                    <a:xfrm>
                      <a:off x="0" y="0"/>
                      <a:ext cx="5852160" cy="2817034"/>
                    </a:xfrm>
                    <a:prstGeom prst="rect"/>
                  </pic:spPr>
                </pic:pic>
              </a:graphicData>
            </a:graphic>
          </wp:inline>
        </w:drawing>
      </w:r>
    </w:p>
    <w:p>
      <w:pPr>
        <w:pStyle w:val="Caption"/>
      </w:pPr>
      <w:r>
        <w:t>Reliability diagrams for NIH internal and VinDr external predictions. Calibration models were fitted only on the NIH calibration split.</w:t>
      </w:r>
    </w:p>
    <w:p>
      <w:pPr>
        <w:pStyle w:val="Heading2"/>
      </w:pPr>
      <w:r>
        <w:t>Figure 5. Grad-CAM++ failure-mode panels</w:t>
      </w:r>
    </w:p>
    <w:p>
      <w:pPr>
        <w:jc w:val="center"/>
      </w:pPr>
      <w:r>
        <w:drawing>
          <wp:inline xmlns:a="http://schemas.openxmlformats.org/drawingml/2006/main" xmlns:pic="http://schemas.openxmlformats.org/drawingml/2006/picture">
            <wp:extent cx="5852160" cy="2560320"/>
            <wp:docPr id="5" name="Picture 5"/>
            <wp:cNvGraphicFramePr>
              <a:graphicFrameLocks noChangeAspect="1"/>
            </wp:cNvGraphicFramePr>
            <a:graphic>
              <a:graphicData uri="http://schemas.openxmlformats.org/drawingml/2006/picture">
                <pic:pic>
                  <pic:nvPicPr>
                    <pic:cNvPr id="0" name="figure5_gradcam_failure_modes_upgraded.jpg"/>
                    <pic:cNvPicPr/>
                  </pic:nvPicPr>
                  <pic:blipFill>
                    <a:blip r:embed="rId13"/>
                    <a:stretch>
                      <a:fillRect/>
                    </a:stretch>
                  </pic:blipFill>
                  <pic:spPr>
                    <a:xfrm>
                      <a:off x="0" y="0"/>
                      <a:ext cx="5852160" cy="2560320"/>
                    </a:xfrm>
                    <a:prstGeom prst="rect"/>
                  </pic:spPr>
                </pic:pic>
              </a:graphicData>
            </a:graphic>
          </wp:inline>
        </w:drawing>
      </w:r>
    </w:p>
    <w:p>
      <w:pPr>
        <w:pStyle w:val="Caption"/>
      </w:pPr>
      <w:r>
        <w:t>Representative true-positive, false-positive, false-negative, and true-negative panels. Grad-CAM++ is used only for qualitative failure-mode analysis.</w:t>
      </w:r>
    </w:p>
    <w:p>
      <w:pPr>
        <w:pStyle w:val="Heading2"/>
      </w:pPr>
      <w:r>
        <w:t>Figure 6. Internal-minus-external AUROC difference</w:t>
      </w:r>
    </w:p>
    <w:p>
      <w:pPr>
        <w:jc w:val="center"/>
      </w:pPr>
      <w:r>
        <w:drawing>
          <wp:inline xmlns:a="http://schemas.openxmlformats.org/drawingml/2006/main" xmlns:pic="http://schemas.openxmlformats.org/drawingml/2006/picture">
            <wp:extent cx="5852160" cy="3301218"/>
            <wp:docPr id="6" name="Picture 6"/>
            <wp:cNvGraphicFramePr>
              <a:graphicFrameLocks noChangeAspect="1"/>
            </wp:cNvGraphicFramePr>
            <a:graphic>
              <a:graphicData uri="http://schemas.openxmlformats.org/drawingml/2006/picture">
                <pic:pic>
                  <pic:nvPicPr>
                    <pic:cNvPr id="0" name="figure6_internal_minus_external_auroc.jpg"/>
                    <pic:cNvPicPr/>
                  </pic:nvPicPr>
                  <pic:blipFill>
                    <a:blip r:embed="rId14"/>
                    <a:stretch>
                      <a:fillRect/>
                    </a:stretch>
                  </pic:blipFill>
                  <pic:spPr>
                    <a:xfrm>
                      <a:off x="0" y="0"/>
                      <a:ext cx="5852160" cy="3301218"/>
                    </a:xfrm>
                    <a:prstGeom prst="rect"/>
                  </pic:spPr>
                </pic:pic>
              </a:graphicData>
            </a:graphic>
          </wp:inline>
        </w:drawing>
      </w:r>
    </w:p>
    <w:p>
      <w:pPr>
        <w:pStyle w:val="Caption"/>
      </w:pPr>
      <w:r>
        <w:t>Negative values indicate higher AUROC in the selected external subset; the plot should be interpreted with prevalence and label-source differences.</w:t>
      </w:r>
    </w:p>
    <w:p>
      <w:pPr>
        <w:pStyle w:val="Heading1"/>
      </w:pPr>
      <w:r>
        <w:t>Supplementary Materials</w:t>
      </w:r>
    </w:p>
    <w:p>
      <w:pPr>
        <w:pStyle w:val="ListBullet"/>
      </w:pPr>
      <w:r>
        <w:t>Supplementary Table 1: ResNet50 label-wise performance.</w:t>
      </w:r>
    </w:p>
    <w:p>
      <w:pPr>
        <w:pStyle w:val="ListBullet"/>
      </w:pPr>
      <w:r>
        <w:t>Supplementary Table 2: EfficientNet-B0 label-wise performance.</w:t>
      </w:r>
    </w:p>
    <w:p>
      <w:pPr>
        <w:pStyle w:val="ListBullet"/>
      </w:pPr>
      <w:r>
        <w:t>Supplementary Table 3: per-label thresholds from NIH validation.</w:t>
      </w:r>
    </w:p>
    <w:p>
      <w:pPr>
        <w:pStyle w:val="ListBullet"/>
      </w:pPr>
      <w:r>
        <w:t>Supplementary Table 4: AUPRC prevalence baseline and lift.</w:t>
      </w:r>
    </w:p>
    <w:p>
      <w:pPr>
        <w:pStyle w:val="ListBullet"/>
      </w:pPr>
      <w:r>
        <w:t>Supplementary Table 5: per-label calibration metrics.</w:t>
      </w:r>
    </w:p>
    <w:p>
      <w:pPr>
        <w:pStyle w:val="ListBullet"/>
      </w:pPr>
      <w:r>
        <w:t>Supplementary Table 6: paired patient-level bootstrap model comparison.</w:t>
      </w:r>
    </w:p>
    <w:p>
      <w:pPr>
        <w:pStyle w:val="ListBullet"/>
      </w:pPr>
      <w:r>
        <w:t>Supplementary Table 7: hyperparameters and environment.</w:t>
      </w:r>
    </w:p>
    <w:p>
      <w:pPr>
        <w:pStyle w:val="ListBullet"/>
      </w:pPr>
      <w:r>
        <w:t>Supplementary Table 8: reproducibility commands.</w:t>
      </w:r>
    </w:p>
    <w:p>
      <w:pPr>
        <w:pStyle w:val="ListBullet"/>
      </w:pPr>
      <w:r>
        <w:t>Supplementary Table 9: MedMNIST verification status, documenting that no MedMNIST metric is used as manuscript evidence.</w:t>
      </w:r>
    </w:p>
    <w:p>
      <w:pPr>
        <w:pStyle w:val="ListBullet"/>
      </w:pPr>
      <w:r>
        <w:t>Supplementary Figure 1: ROC and PR curves for DenseNet121.</w:t>
      </w:r>
    </w:p>
    <w:p>
      <w:pPr>
        <w:pStyle w:val="ListBullet"/>
      </w:pPr>
      <w:r>
        <w:t>Supplementary Figure 2: predicted probability distributions for DenseNet121.</w:t>
      </w:r>
    </w:p>
    <w:p>
      <w:pPr>
        <w:pStyle w:val="Heading2"/>
      </w:pPr>
      <w:r>
        <w:t>Supplementary excerpt: paired bootstrap model comparison</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vAlign w:val="center"/>
            <w:shd w:fill="D9EAF7"/>
          </w:tcPr>
          <w:p>
            <w:r>
              <w:rPr>
                <w:rFonts w:ascii="Arial" w:hAnsi="Arial"/>
                <w:b/>
                <w:sz w:val="15"/>
              </w:rPr>
              <w:t>dataset</w:t>
            </w:r>
          </w:p>
        </w:tc>
        <w:tc>
          <w:tcPr>
            <w:tcW w:type="dxa" w:w="1130"/>
            <w:vAlign w:val="center"/>
            <w:shd w:fill="D9EAF7"/>
          </w:tcPr>
          <w:p>
            <w:r>
              <w:rPr>
                <w:rFonts w:ascii="Arial" w:hAnsi="Arial"/>
                <w:b/>
                <w:sz w:val="15"/>
              </w:rPr>
              <w:t>label_set</w:t>
            </w:r>
          </w:p>
        </w:tc>
        <w:tc>
          <w:tcPr>
            <w:tcW w:type="dxa" w:w="1130"/>
            <w:vAlign w:val="center"/>
            <w:shd w:fill="D9EAF7"/>
          </w:tcPr>
          <w:p>
            <w:r>
              <w:rPr>
                <w:rFonts w:ascii="Arial" w:hAnsi="Arial"/>
                <w:b/>
                <w:sz w:val="15"/>
              </w:rPr>
              <w:t>metric</w:t>
            </w:r>
          </w:p>
        </w:tc>
        <w:tc>
          <w:tcPr>
            <w:tcW w:type="dxa" w:w="1130"/>
            <w:vAlign w:val="center"/>
            <w:shd w:fill="D9EAF7"/>
          </w:tcPr>
          <w:p>
            <w:r>
              <w:rPr>
                <w:rFonts w:ascii="Arial" w:hAnsi="Arial"/>
                <w:b/>
                <w:sz w:val="15"/>
              </w:rPr>
              <w:t>model_a</w:t>
            </w:r>
          </w:p>
        </w:tc>
        <w:tc>
          <w:tcPr>
            <w:tcW w:type="dxa" w:w="1130"/>
            <w:vAlign w:val="center"/>
            <w:shd w:fill="D9EAF7"/>
          </w:tcPr>
          <w:p>
            <w:r>
              <w:rPr>
                <w:rFonts w:ascii="Arial" w:hAnsi="Arial"/>
                <w:b/>
                <w:sz w:val="15"/>
              </w:rPr>
              <w:t>model_b</w:t>
            </w:r>
          </w:p>
        </w:tc>
        <w:tc>
          <w:tcPr>
            <w:tcW w:type="dxa" w:w="1130"/>
            <w:vAlign w:val="center"/>
            <w:shd w:fill="D9EAF7"/>
          </w:tcPr>
          <w:p>
            <w:r>
              <w:rPr>
                <w:rFonts w:ascii="Arial" w:hAnsi="Arial"/>
                <w:b/>
                <w:sz w:val="15"/>
              </w:rPr>
              <w:t>difference_a_minus_b</w:t>
            </w:r>
          </w:p>
        </w:tc>
        <w:tc>
          <w:tcPr>
            <w:tcW w:type="dxa" w:w="1130"/>
            <w:vAlign w:val="center"/>
            <w:shd w:fill="D9EAF7"/>
          </w:tcPr>
          <w:p>
            <w:r>
              <w:rPr>
                <w:rFonts w:ascii="Arial" w:hAnsi="Arial"/>
                <w:b/>
                <w:sz w:val="15"/>
              </w:rPr>
              <w:t>ci_lower</w:t>
            </w:r>
          </w:p>
        </w:tc>
        <w:tc>
          <w:tcPr>
            <w:tcW w:type="dxa" w:w="1130"/>
            <w:vAlign w:val="center"/>
            <w:shd w:fill="D9EAF7"/>
          </w:tcPr>
          <w:p>
            <w:r>
              <w:rPr>
                <w:rFonts w:ascii="Arial" w:hAnsi="Arial"/>
                <w:b/>
                <w:sz w:val="15"/>
              </w:rPr>
              <w:t>ci_upper</w:t>
            </w:r>
          </w:p>
        </w:tc>
        <w:tc>
          <w:tcPr>
            <w:tcW w:type="dxa" w:w="1130"/>
            <w:vAlign w:val="center"/>
            <w:shd w:fill="D9EAF7"/>
          </w:tcPr>
          <w:p>
            <w:r>
              <w:rPr>
                <w:rFonts w:ascii="Arial" w:hAnsi="Arial"/>
                <w:b/>
                <w:sz w:val="15"/>
              </w:rPr>
              <w:t>ci_excludes_zero</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all_valid_labels</w:t>
            </w:r>
          </w:p>
        </w:tc>
        <w:tc>
          <w:tcPr>
            <w:tcW w:type="dxa" w:w="1130"/>
            <w:vAlign w:val="center"/>
          </w:tcPr>
          <w:p>
            <w:r>
              <w:rPr>
                <w:rFonts w:ascii="Arial" w:hAnsi="Arial"/>
                <w:sz w:val="15"/>
              </w:rPr>
              <w:t>auroc</w:t>
            </w:r>
          </w:p>
        </w:tc>
        <w:tc>
          <w:tcPr>
            <w:tcW w:type="dxa" w:w="1130"/>
            <w:vAlign w:val="center"/>
          </w:tcPr>
          <w:p>
            <w:r>
              <w:rPr>
                <w:rFonts w:ascii="Arial" w:hAnsi="Arial"/>
                <w:sz w:val="15"/>
              </w:rPr>
              <w:t>DenseNet121</w:t>
            </w:r>
          </w:p>
        </w:tc>
        <w:tc>
          <w:tcPr>
            <w:tcW w:type="dxa" w:w="1130"/>
            <w:vAlign w:val="center"/>
          </w:tcPr>
          <w:p>
            <w:r>
              <w:rPr>
                <w:rFonts w:ascii="Arial" w:hAnsi="Arial"/>
                <w:sz w:val="15"/>
              </w:rPr>
              <w:t>ResNet50</w:t>
            </w:r>
          </w:p>
        </w:tc>
        <w:tc>
          <w:tcPr>
            <w:tcW w:type="dxa" w:w="1130"/>
            <w:vAlign w:val="center"/>
          </w:tcPr>
          <w:p>
            <w:r>
              <w:rPr>
                <w:rFonts w:ascii="Arial" w:hAnsi="Arial"/>
                <w:sz w:val="15"/>
              </w:rPr>
              <w:t>0.033</w:t>
            </w:r>
          </w:p>
        </w:tc>
        <w:tc>
          <w:tcPr>
            <w:tcW w:type="dxa" w:w="1130"/>
            <w:vAlign w:val="center"/>
          </w:tcPr>
          <w:p>
            <w:r>
              <w:rPr>
                <w:rFonts w:ascii="Arial" w:hAnsi="Arial"/>
                <w:sz w:val="15"/>
              </w:rPr>
              <w:t>0.007</w:t>
            </w:r>
          </w:p>
        </w:tc>
        <w:tc>
          <w:tcPr>
            <w:tcW w:type="dxa" w:w="1130"/>
            <w:vAlign w:val="center"/>
          </w:tcPr>
          <w:p>
            <w:r>
              <w:rPr>
                <w:rFonts w:ascii="Arial" w:hAnsi="Arial"/>
                <w:sz w:val="15"/>
              </w:rPr>
              <w:t>0.064</w:t>
            </w:r>
          </w:p>
        </w:tc>
        <w:tc>
          <w:tcPr>
            <w:tcW w:type="dxa" w:w="1130"/>
            <w:vAlign w:val="center"/>
          </w:tcPr>
          <w:p>
            <w:r>
              <w:rPr>
                <w:rFonts w:ascii="Arial" w:hAnsi="Arial"/>
                <w:sz w:val="15"/>
              </w:rPr>
              <w:t>True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all_valid_labels</w:t>
            </w:r>
          </w:p>
        </w:tc>
        <w:tc>
          <w:tcPr>
            <w:tcW w:type="dxa" w:w="1130"/>
            <w:vAlign w:val="center"/>
          </w:tcPr>
          <w:p>
            <w:r>
              <w:rPr>
                <w:rFonts w:ascii="Arial" w:hAnsi="Arial"/>
                <w:sz w:val="15"/>
              </w:rPr>
              <w:t>auroc</w:t>
            </w:r>
          </w:p>
        </w:tc>
        <w:tc>
          <w:tcPr>
            <w:tcW w:type="dxa" w:w="1130"/>
            <w:vAlign w:val="center"/>
          </w:tcPr>
          <w:p>
            <w:r>
              <w:rPr>
                <w:rFonts w:ascii="Arial" w:hAnsi="Arial"/>
                <w:sz w:val="15"/>
              </w:rPr>
              <w:t>DenseNet121</w:t>
            </w:r>
          </w:p>
        </w:tc>
        <w:tc>
          <w:tcPr>
            <w:tcW w:type="dxa" w:w="1130"/>
            <w:vAlign w:val="center"/>
          </w:tcPr>
          <w:p>
            <w:r>
              <w:rPr>
                <w:rFonts w:ascii="Arial" w:hAnsi="Arial"/>
                <w:sz w:val="15"/>
              </w:rPr>
              <w:t>EfficientNet-B0</w:t>
            </w:r>
          </w:p>
        </w:tc>
        <w:tc>
          <w:tcPr>
            <w:tcW w:type="dxa" w:w="1130"/>
            <w:vAlign w:val="center"/>
          </w:tcPr>
          <w:p>
            <w:r>
              <w:rPr>
                <w:rFonts w:ascii="Arial" w:hAnsi="Arial"/>
                <w:sz w:val="15"/>
              </w:rPr>
              <w:t>0.024</w:t>
            </w:r>
          </w:p>
        </w:tc>
        <w:tc>
          <w:tcPr>
            <w:tcW w:type="dxa" w:w="1130"/>
            <w:vAlign w:val="center"/>
          </w:tcPr>
          <w:p>
            <w:r>
              <w:rPr>
                <w:rFonts w:ascii="Arial" w:hAnsi="Arial"/>
                <w:sz w:val="15"/>
              </w:rPr>
              <w:t>-0.007</w:t>
            </w:r>
          </w:p>
        </w:tc>
        <w:tc>
          <w:tcPr>
            <w:tcW w:type="dxa" w:w="1130"/>
            <w:vAlign w:val="center"/>
          </w:tcPr>
          <w:p>
            <w:r>
              <w:rPr>
                <w:rFonts w:ascii="Arial" w:hAnsi="Arial"/>
                <w:sz w:val="15"/>
              </w:rPr>
              <w:t>0.054</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all_valid_labels</w:t>
            </w:r>
          </w:p>
        </w:tc>
        <w:tc>
          <w:tcPr>
            <w:tcW w:type="dxa" w:w="1130"/>
            <w:vAlign w:val="center"/>
          </w:tcPr>
          <w:p>
            <w:r>
              <w:rPr>
                <w:rFonts w:ascii="Arial" w:hAnsi="Arial"/>
                <w:sz w:val="15"/>
              </w:rPr>
              <w:t>auroc</w:t>
            </w:r>
          </w:p>
        </w:tc>
        <w:tc>
          <w:tcPr>
            <w:tcW w:type="dxa" w:w="1130"/>
            <w:vAlign w:val="center"/>
          </w:tcPr>
          <w:p>
            <w:r>
              <w:rPr>
                <w:rFonts w:ascii="Arial" w:hAnsi="Arial"/>
                <w:sz w:val="15"/>
              </w:rPr>
              <w:t>ResNet50</w:t>
            </w:r>
          </w:p>
        </w:tc>
        <w:tc>
          <w:tcPr>
            <w:tcW w:type="dxa" w:w="1130"/>
            <w:vAlign w:val="center"/>
          </w:tcPr>
          <w:p>
            <w:r>
              <w:rPr>
                <w:rFonts w:ascii="Arial" w:hAnsi="Arial"/>
                <w:sz w:val="15"/>
              </w:rPr>
              <w:t>EfficientNet-B0</w:t>
            </w:r>
          </w:p>
        </w:tc>
        <w:tc>
          <w:tcPr>
            <w:tcW w:type="dxa" w:w="1130"/>
            <w:vAlign w:val="center"/>
          </w:tcPr>
          <w:p>
            <w:r>
              <w:rPr>
                <w:rFonts w:ascii="Arial" w:hAnsi="Arial"/>
                <w:sz w:val="15"/>
              </w:rPr>
              <w:t>-0.009</w:t>
            </w:r>
          </w:p>
        </w:tc>
        <w:tc>
          <w:tcPr>
            <w:tcW w:type="dxa" w:w="1130"/>
            <w:vAlign w:val="center"/>
          </w:tcPr>
          <w:p>
            <w:r>
              <w:rPr>
                <w:rFonts w:ascii="Arial" w:hAnsi="Arial"/>
                <w:sz w:val="15"/>
              </w:rPr>
              <w:t>-0.046</w:t>
            </w:r>
          </w:p>
        </w:tc>
        <w:tc>
          <w:tcPr>
            <w:tcW w:type="dxa" w:w="1130"/>
            <w:vAlign w:val="center"/>
          </w:tcPr>
          <w:p>
            <w:r>
              <w:rPr>
                <w:rFonts w:ascii="Arial" w:hAnsi="Arial"/>
                <w:sz w:val="15"/>
              </w:rPr>
              <w:t>0.026</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all_valid_labels</w:t>
            </w:r>
          </w:p>
        </w:tc>
        <w:tc>
          <w:tcPr>
            <w:tcW w:type="dxa" w:w="1130"/>
            <w:vAlign w:val="center"/>
          </w:tcPr>
          <w:p>
            <w:r>
              <w:rPr>
                <w:rFonts w:ascii="Arial" w:hAnsi="Arial"/>
                <w:sz w:val="15"/>
              </w:rPr>
              <w:t>auprc</w:t>
            </w:r>
          </w:p>
        </w:tc>
        <w:tc>
          <w:tcPr>
            <w:tcW w:type="dxa" w:w="1130"/>
            <w:vAlign w:val="center"/>
          </w:tcPr>
          <w:p>
            <w:r>
              <w:rPr>
                <w:rFonts w:ascii="Arial" w:hAnsi="Arial"/>
                <w:sz w:val="15"/>
              </w:rPr>
              <w:t>DenseNet121</w:t>
            </w:r>
          </w:p>
        </w:tc>
        <w:tc>
          <w:tcPr>
            <w:tcW w:type="dxa" w:w="1130"/>
            <w:vAlign w:val="center"/>
          </w:tcPr>
          <w:p>
            <w:r>
              <w:rPr>
                <w:rFonts w:ascii="Arial" w:hAnsi="Arial"/>
                <w:sz w:val="15"/>
              </w:rPr>
              <w:t>ResNet50</w:t>
            </w:r>
          </w:p>
        </w:tc>
        <w:tc>
          <w:tcPr>
            <w:tcW w:type="dxa" w:w="1130"/>
            <w:vAlign w:val="center"/>
          </w:tcPr>
          <w:p>
            <w:r>
              <w:rPr>
                <w:rFonts w:ascii="Arial" w:hAnsi="Arial"/>
                <w:sz w:val="15"/>
              </w:rPr>
              <w:t>0.013</w:t>
            </w:r>
          </w:p>
        </w:tc>
        <w:tc>
          <w:tcPr>
            <w:tcW w:type="dxa" w:w="1130"/>
            <w:vAlign w:val="center"/>
          </w:tcPr>
          <w:p>
            <w:r>
              <w:rPr>
                <w:rFonts w:ascii="Arial" w:hAnsi="Arial"/>
                <w:sz w:val="15"/>
              </w:rPr>
              <w:t>-0.010</w:t>
            </w:r>
          </w:p>
        </w:tc>
        <w:tc>
          <w:tcPr>
            <w:tcW w:type="dxa" w:w="1130"/>
            <w:vAlign w:val="center"/>
          </w:tcPr>
          <w:p>
            <w:r>
              <w:rPr>
                <w:rFonts w:ascii="Arial" w:hAnsi="Arial"/>
                <w:sz w:val="15"/>
              </w:rPr>
              <w:t>0.036</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all_valid_labels</w:t>
            </w:r>
          </w:p>
        </w:tc>
        <w:tc>
          <w:tcPr>
            <w:tcW w:type="dxa" w:w="1130"/>
            <w:vAlign w:val="center"/>
          </w:tcPr>
          <w:p>
            <w:r>
              <w:rPr>
                <w:rFonts w:ascii="Arial" w:hAnsi="Arial"/>
                <w:sz w:val="15"/>
              </w:rPr>
              <w:t>auprc</w:t>
            </w:r>
          </w:p>
        </w:tc>
        <w:tc>
          <w:tcPr>
            <w:tcW w:type="dxa" w:w="1130"/>
            <w:vAlign w:val="center"/>
          </w:tcPr>
          <w:p>
            <w:r>
              <w:rPr>
                <w:rFonts w:ascii="Arial" w:hAnsi="Arial"/>
                <w:sz w:val="15"/>
              </w:rPr>
              <w:t>DenseNet121</w:t>
            </w:r>
          </w:p>
        </w:tc>
        <w:tc>
          <w:tcPr>
            <w:tcW w:type="dxa" w:w="1130"/>
            <w:vAlign w:val="center"/>
          </w:tcPr>
          <w:p>
            <w:r>
              <w:rPr>
                <w:rFonts w:ascii="Arial" w:hAnsi="Arial"/>
                <w:sz w:val="15"/>
              </w:rPr>
              <w:t>EfficientNet-B0</w:t>
            </w:r>
          </w:p>
        </w:tc>
        <w:tc>
          <w:tcPr>
            <w:tcW w:type="dxa" w:w="1130"/>
            <w:vAlign w:val="center"/>
          </w:tcPr>
          <w:p>
            <w:r>
              <w:rPr>
                <w:rFonts w:ascii="Arial" w:hAnsi="Arial"/>
                <w:sz w:val="15"/>
              </w:rPr>
              <w:t>-0.004</w:t>
            </w:r>
          </w:p>
        </w:tc>
        <w:tc>
          <w:tcPr>
            <w:tcW w:type="dxa" w:w="1130"/>
            <w:vAlign w:val="center"/>
          </w:tcPr>
          <w:p>
            <w:r>
              <w:rPr>
                <w:rFonts w:ascii="Arial" w:hAnsi="Arial"/>
                <w:sz w:val="15"/>
              </w:rPr>
              <w:t>-0.030</w:t>
            </w:r>
          </w:p>
        </w:tc>
        <w:tc>
          <w:tcPr>
            <w:tcW w:type="dxa" w:w="1130"/>
            <w:vAlign w:val="center"/>
          </w:tcPr>
          <w:p>
            <w:r>
              <w:rPr>
                <w:rFonts w:ascii="Arial" w:hAnsi="Arial"/>
                <w:sz w:val="15"/>
              </w:rPr>
              <w:t>0.011</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all_valid_labels</w:t>
            </w:r>
          </w:p>
        </w:tc>
        <w:tc>
          <w:tcPr>
            <w:tcW w:type="dxa" w:w="1130"/>
            <w:vAlign w:val="center"/>
          </w:tcPr>
          <w:p>
            <w:r>
              <w:rPr>
                <w:rFonts w:ascii="Arial" w:hAnsi="Arial"/>
                <w:sz w:val="15"/>
              </w:rPr>
              <w:t>auprc</w:t>
            </w:r>
          </w:p>
        </w:tc>
        <w:tc>
          <w:tcPr>
            <w:tcW w:type="dxa" w:w="1130"/>
            <w:vAlign w:val="center"/>
          </w:tcPr>
          <w:p>
            <w:r>
              <w:rPr>
                <w:rFonts w:ascii="Arial" w:hAnsi="Arial"/>
                <w:sz w:val="15"/>
              </w:rPr>
              <w:t>ResNet50</w:t>
            </w:r>
          </w:p>
        </w:tc>
        <w:tc>
          <w:tcPr>
            <w:tcW w:type="dxa" w:w="1130"/>
            <w:vAlign w:val="center"/>
          </w:tcPr>
          <w:p>
            <w:r>
              <w:rPr>
                <w:rFonts w:ascii="Arial" w:hAnsi="Arial"/>
                <w:sz w:val="15"/>
              </w:rPr>
              <w:t>EfficientNet-B0</w:t>
            </w:r>
          </w:p>
        </w:tc>
        <w:tc>
          <w:tcPr>
            <w:tcW w:type="dxa" w:w="1130"/>
            <w:vAlign w:val="center"/>
          </w:tcPr>
          <w:p>
            <w:r>
              <w:rPr>
                <w:rFonts w:ascii="Arial" w:hAnsi="Arial"/>
                <w:sz w:val="15"/>
              </w:rPr>
              <w:t>-0.017</w:t>
            </w:r>
          </w:p>
        </w:tc>
        <w:tc>
          <w:tcPr>
            <w:tcW w:type="dxa" w:w="1130"/>
            <w:vAlign w:val="center"/>
          </w:tcPr>
          <w:p>
            <w:r>
              <w:rPr>
                <w:rFonts w:ascii="Arial" w:hAnsi="Arial"/>
                <w:sz w:val="15"/>
              </w:rPr>
              <w:t>-0.042</w:t>
            </w:r>
          </w:p>
        </w:tc>
        <w:tc>
          <w:tcPr>
            <w:tcW w:type="dxa" w:w="1130"/>
            <w:vAlign w:val="center"/>
          </w:tcPr>
          <w:p>
            <w:r>
              <w:rPr>
                <w:rFonts w:ascii="Arial" w:hAnsi="Arial"/>
                <w:sz w:val="15"/>
              </w:rPr>
              <w:t>0.000</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external_evaluable_labels</w:t>
            </w:r>
          </w:p>
        </w:tc>
        <w:tc>
          <w:tcPr>
            <w:tcW w:type="dxa" w:w="1130"/>
            <w:vAlign w:val="center"/>
          </w:tcPr>
          <w:p>
            <w:r>
              <w:rPr>
                <w:rFonts w:ascii="Arial" w:hAnsi="Arial"/>
                <w:sz w:val="15"/>
              </w:rPr>
              <w:t>auroc</w:t>
            </w:r>
          </w:p>
        </w:tc>
        <w:tc>
          <w:tcPr>
            <w:tcW w:type="dxa" w:w="1130"/>
            <w:vAlign w:val="center"/>
          </w:tcPr>
          <w:p>
            <w:r>
              <w:rPr>
                <w:rFonts w:ascii="Arial" w:hAnsi="Arial"/>
                <w:sz w:val="15"/>
              </w:rPr>
              <w:t>DenseNet121</w:t>
            </w:r>
          </w:p>
        </w:tc>
        <w:tc>
          <w:tcPr>
            <w:tcW w:type="dxa" w:w="1130"/>
            <w:vAlign w:val="center"/>
          </w:tcPr>
          <w:p>
            <w:r>
              <w:rPr>
                <w:rFonts w:ascii="Arial" w:hAnsi="Arial"/>
                <w:sz w:val="15"/>
              </w:rPr>
              <w:t>ResNet50</w:t>
            </w:r>
          </w:p>
        </w:tc>
        <w:tc>
          <w:tcPr>
            <w:tcW w:type="dxa" w:w="1130"/>
            <w:vAlign w:val="center"/>
          </w:tcPr>
          <w:p>
            <w:r>
              <w:rPr>
                <w:rFonts w:ascii="Arial" w:hAnsi="Arial"/>
                <w:sz w:val="15"/>
              </w:rPr>
              <w:t>0.014</w:t>
            </w:r>
          </w:p>
        </w:tc>
        <w:tc>
          <w:tcPr>
            <w:tcW w:type="dxa" w:w="1130"/>
            <w:vAlign w:val="center"/>
          </w:tcPr>
          <w:p>
            <w:r>
              <w:rPr>
                <w:rFonts w:ascii="Arial" w:hAnsi="Arial"/>
                <w:sz w:val="15"/>
              </w:rPr>
              <w:t>-0.016</w:t>
            </w:r>
          </w:p>
        </w:tc>
        <w:tc>
          <w:tcPr>
            <w:tcW w:type="dxa" w:w="1130"/>
            <w:vAlign w:val="center"/>
          </w:tcPr>
          <w:p>
            <w:r>
              <w:rPr>
                <w:rFonts w:ascii="Arial" w:hAnsi="Arial"/>
                <w:sz w:val="15"/>
              </w:rPr>
              <w:t>0.045</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external_evaluable_labels</w:t>
            </w:r>
          </w:p>
        </w:tc>
        <w:tc>
          <w:tcPr>
            <w:tcW w:type="dxa" w:w="1130"/>
            <w:vAlign w:val="center"/>
          </w:tcPr>
          <w:p>
            <w:r>
              <w:rPr>
                <w:rFonts w:ascii="Arial" w:hAnsi="Arial"/>
                <w:sz w:val="15"/>
              </w:rPr>
              <w:t>auroc</w:t>
            </w:r>
          </w:p>
        </w:tc>
        <w:tc>
          <w:tcPr>
            <w:tcW w:type="dxa" w:w="1130"/>
            <w:vAlign w:val="center"/>
          </w:tcPr>
          <w:p>
            <w:r>
              <w:rPr>
                <w:rFonts w:ascii="Arial" w:hAnsi="Arial"/>
                <w:sz w:val="15"/>
              </w:rPr>
              <w:t>DenseNet121</w:t>
            </w:r>
          </w:p>
        </w:tc>
        <w:tc>
          <w:tcPr>
            <w:tcW w:type="dxa" w:w="1130"/>
            <w:vAlign w:val="center"/>
          </w:tcPr>
          <w:p>
            <w:r>
              <w:rPr>
                <w:rFonts w:ascii="Arial" w:hAnsi="Arial"/>
                <w:sz w:val="15"/>
              </w:rPr>
              <w:t>EfficientNet-B0</w:t>
            </w:r>
          </w:p>
        </w:tc>
        <w:tc>
          <w:tcPr>
            <w:tcW w:type="dxa" w:w="1130"/>
            <w:vAlign w:val="center"/>
          </w:tcPr>
          <w:p>
            <w:r>
              <w:rPr>
                <w:rFonts w:ascii="Arial" w:hAnsi="Arial"/>
                <w:sz w:val="15"/>
              </w:rPr>
              <w:t>-0.006</w:t>
            </w:r>
          </w:p>
        </w:tc>
        <w:tc>
          <w:tcPr>
            <w:tcW w:type="dxa" w:w="1130"/>
            <w:vAlign w:val="center"/>
          </w:tcPr>
          <w:p>
            <w:r>
              <w:rPr>
                <w:rFonts w:ascii="Arial" w:hAnsi="Arial"/>
                <w:sz w:val="15"/>
              </w:rPr>
              <w:t>-0.037</w:t>
            </w:r>
          </w:p>
        </w:tc>
        <w:tc>
          <w:tcPr>
            <w:tcW w:type="dxa" w:w="1130"/>
            <w:vAlign w:val="center"/>
          </w:tcPr>
          <w:p>
            <w:r>
              <w:rPr>
                <w:rFonts w:ascii="Arial" w:hAnsi="Arial"/>
                <w:sz w:val="15"/>
              </w:rPr>
              <w:t>0.020</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external_evaluable_labels</w:t>
            </w:r>
          </w:p>
        </w:tc>
        <w:tc>
          <w:tcPr>
            <w:tcW w:type="dxa" w:w="1130"/>
            <w:vAlign w:val="center"/>
          </w:tcPr>
          <w:p>
            <w:r>
              <w:rPr>
                <w:rFonts w:ascii="Arial" w:hAnsi="Arial"/>
                <w:sz w:val="15"/>
              </w:rPr>
              <w:t>auroc</w:t>
            </w:r>
          </w:p>
        </w:tc>
        <w:tc>
          <w:tcPr>
            <w:tcW w:type="dxa" w:w="1130"/>
            <w:vAlign w:val="center"/>
          </w:tcPr>
          <w:p>
            <w:r>
              <w:rPr>
                <w:rFonts w:ascii="Arial" w:hAnsi="Arial"/>
                <w:sz w:val="15"/>
              </w:rPr>
              <w:t>ResNet50</w:t>
            </w:r>
          </w:p>
        </w:tc>
        <w:tc>
          <w:tcPr>
            <w:tcW w:type="dxa" w:w="1130"/>
            <w:vAlign w:val="center"/>
          </w:tcPr>
          <w:p>
            <w:r>
              <w:rPr>
                <w:rFonts w:ascii="Arial" w:hAnsi="Arial"/>
                <w:sz w:val="15"/>
              </w:rPr>
              <w:t>EfficientNet-B0</w:t>
            </w:r>
          </w:p>
        </w:tc>
        <w:tc>
          <w:tcPr>
            <w:tcW w:type="dxa" w:w="1130"/>
            <w:vAlign w:val="center"/>
          </w:tcPr>
          <w:p>
            <w:r>
              <w:rPr>
                <w:rFonts w:ascii="Arial" w:hAnsi="Arial"/>
                <w:sz w:val="15"/>
              </w:rPr>
              <w:t>-0.021</w:t>
            </w:r>
          </w:p>
        </w:tc>
        <w:tc>
          <w:tcPr>
            <w:tcW w:type="dxa" w:w="1130"/>
            <w:vAlign w:val="center"/>
          </w:tcPr>
          <w:p>
            <w:r>
              <w:rPr>
                <w:rFonts w:ascii="Arial" w:hAnsi="Arial"/>
                <w:sz w:val="15"/>
              </w:rPr>
              <w:t>-0.046</w:t>
            </w:r>
          </w:p>
        </w:tc>
        <w:tc>
          <w:tcPr>
            <w:tcW w:type="dxa" w:w="1130"/>
            <w:vAlign w:val="center"/>
          </w:tcPr>
          <w:p>
            <w:r>
              <w:rPr>
                <w:rFonts w:ascii="Arial" w:hAnsi="Arial"/>
                <w:sz w:val="15"/>
              </w:rPr>
              <w:t>0.006</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external_evaluable_labels</w:t>
            </w:r>
          </w:p>
        </w:tc>
        <w:tc>
          <w:tcPr>
            <w:tcW w:type="dxa" w:w="1130"/>
            <w:vAlign w:val="center"/>
          </w:tcPr>
          <w:p>
            <w:r>
              <w:rPr>
                <w:rFonts w:ascii="Arial" w:hAnsi="Arial"/>
                <w:sz w:val="15"/>
              </w:rPr>
              <w:t>auprc</w:t>
            </w:r>
          </w:p>
        </w:tc>
        <w:tc>
          <w:tcPr>
            <w:tcW w:type="dxa" w:w="1130"/>
            <w:vAlign w:val="center"/>
          </w:tcPr>
          <w:p>
            <w:r>
              <w:rPr>
                <w:rFonts w:ascii="Arial" w:hAnsi="Arial"/>
                <w:sz w:val="15"/>
              </w:rPr>
              <w:t>DenseNet121</w:t>
            </w:r>
          </w:p>
        </w:tc>
        <w:tc>
          <w:tcPr>
            <w:tcW w:type="dxa" w:w="1130"/>
            <w:vAlign w:val="center"/>
          </w:tcPr>
          <w:p>
            <w:r>
              <w:rPr>
                <w:rFonts w:ascii="Arial" w:hAnsi="Arial"/>
                <w:sz w:val="15"/>
              </w:rPr>
              <w:t>ResNet50</w:t>
            </w:r>
          </w:p>
        </w:tc>
        <w:tc>
          <w:tcPr>
            <w:tcW w:type="dxa" w:w="1130"/>
            <w:vAlign w:val="center"/>
          </w:tcPr>
          <w:p>
            <w:r>
              <w:rPr>
                <w:rFonts w:ascii="Arial" w:hAnsi="Arial"/>
                <w:sz w:val="15"/>
              </w:rPr>
              <w:t>0.014</w:t>
            </w:r>
          </w:p>
        </w:tc>
        <w:tc>
          <w:tcPr>
            <w:tcW w:type="dxa" w:w="1130"/>
            <w:vAlign w:val="center"/>
          </w:tcPr>
          <w:p>
            <w:r>
              <w:rPr>
                <w:rFonts w:ascii="Arial" w:hAnsi="Arial"/>
                <w:sz w:val="15"/>
              </w:rPr>
              <w:t>-0.016</w:t>
            </w:r>
          </w:p>
        </w:tc>
        <w:tc>
          <w:tcPr>
            <w:tcW w:type="dxa" w:w="1130"/>
            <w:vAlign w:val="center"/>
          </w:tcPr>
          <w:p>
            <w:r>
              <w:rPr>
                <w:rFonts w:ascii="Arial" w:hAnsi="Arial"/>
                <w:sz w:val="15"/>
              </w:rPr>
              <w:t>0.042</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external_evaluable_labels</w:t>
            </w:r>
          </w:p>
        </w:tc>
        <w:tc>
          <w:tcPr>
            <w:tcW w:type="dxa" w:w="1130"/>
            <w:vAlign w:val="center"/>
          </w:tcPr>
          <w:p>
            <w:r>
              <w:rPr>
                <w:rFonts w:ascii="Arial" w:hAnsi="Arial"/>
                <w:sz w:val="15"/>
              </w:rPr>
              <w:t>auprc</w:t>
            </w:r>
          </w:p>
        </w:tc>
        <w:tc>
          <w:tcPr>
            <w:tcW w:type="dxa" w:w="1130"/>
            <w:vAlign w:val="center"/>
          </w:tcPr>
          <w:p>
            <w:r>
              <w:rPr>
                <w:rFonts w:ascii="Arial" w:hAnsi="Arial"/>
                <w:sz w:val="15"/>
              </w:rPr>
              <w:t>DenseNet121</w:t>
            </w:r>
          </w:p>
        </w:tc>
        <w:tc>
          <w:tcPr>
            <w:tcW w:type="dxa" w:w="1130"/>
            <w:vAlign w:val="center"/>
          </w:tcPr>
          <w:p>
            <w:r>
              <w:rPr>
                <w:rFonts w:ascii="Arial" w:hAnsi="Arial"/>
                <w:sz w:val="15"/>
              </w:rPr>
              <w:t>EfficientNet-B0</w:t>
            </w:r>
          </w:p>
        </w:tc>
        <w:tc>
          <w:tcPr>
            <w:tcW w:type="dxa" w:w="1130"/>
            <w:vAlign w:val="center"/>
          </w:tcPr>
          <w:p>
            <w:r>
              <w:rPr>
                <w:rFonts w:ascii="Arial" w:hAnsi="Arial"/>
                <w:sz w:val="15"/>
              </w:rPr>
              <w:t>-0.002</w:t>
            </w:r>
          </w:p>
        </w:tc>
        <w:tc>
          <w:tcPr>
            <w:tcW w:type="dxa" w:w="1130"/>
            <w:vAlign w:val="center"/>
          </w:tcPr>
          <w:p>
            <w:r>
              <w:rPr>
                <w:rFonts w:ascii="Arial" w:hAnsi="Arial"/>
                <w:sz w:val="15"/>
              </w:rPr>
              <w:t>-0.032</w:t>
            </w:r>
          </w:p>
        </w:tc>
        <w:tc>
          <w:tcPr>
            <w:tcW w:type="dxa" w:w="1130"/>
            <w:vAlign w:val="center"/>
          </w:tcPr>
          <w:p>
            <w:r>
              <w:rPr>
                <w:rFonts w:ascii="Arial" w:hAnsi="Arial"/>
                <w:sz w:val="15"/>
              </w:rPr>
              <w:t>0.019</w:t>
            </w:r>
          </w:p>
        </w:tc>
        <w:tc>
          <w:tcPr>
            <w:tcW w:type="dxa" w:w="1130"/>
            <w:vAlign w:val="center"/>
          </w:tcPr>
          <w:p>
            <w:r>
              <w:rPr>
                <w:rFonts w:ascii="Arial" w:hAnsi="Arial"/>
                <w:sz w:val="15"/>
              </w:rPr>
              <w:t>False</w:t>
            </w:r>
          </w:p>
        </w:tc>
      </w:tr>
      <w:tr>
        <w:tc>
          <w:tcPr>
            <w:tcW w:type="dxa" w:w="1130"/>
            <w:vAlign w:val="center"/>
          </w:tcPr>
          <w:p>
            <w:r>
              <w:rPr>
                <w:rFonts w:ascii="Arial" w:hAnsi="Arial"/>
                <w:sz w:val="15"/>
              </w:rPr>
              <w:t>NIH internal test</w:t>
            </w:r>
          </w:p>
        </w:tc>
        <w:tc>
          <w:tcPr>
            <w:tcW w:type="dxa" w:w="1130"/>
            <w:vAlign w:val="center"/>
          </w:tcPr>
          <w:p>
            <w:r>
              <w:rPr>
                <w:rFonts w:ascii="Arial" w:hAnsi="Arial"/>
                <w:sz w:val="15"/>
              </w:rPr>
              <w:t>external_evaluable_labels</w:t>
            </w:r>
          </w:p>
        </w:tc>
        <w:tc>
          <w:tcPr>
            <w:tcW w:type="dxa" w:w="1130"/>
            <w:vAlign w:val="center"/>
          </w:tcPr>
          <w:p>
            <w:r>
              <w:rPr>
                <w:rFonts w:ascii="Arial" w:hAnsi="Arial"/>
                <w:sz w:val="15"/>
              </w:rPr>
              <w:t>auprc</w:t>
            </w:r>
          </w:p>
        </w:tc>
        <w:tc>
          <w:tcPr>
            <w:tcW w:type="dxa" w:w="1130"/>
            <w:vAlign w:val="center"/>
          </w:tcPr>
          <w:p>
            <w:r>
              <w:rPr>
                <w:rFonts w:ascii="Arial" w:hAnsi="Arial"/>
                <w:sz w:val="15"/>
              </w:rPr>
              <w:t>ResNet50</w:t>
            </w:r>
          </w:p>
        </w:tc>
        <w:tc>
          <w:tcPr>
            <w:tcW w:type="dxa" w:w="1130"/>
            <w:vAlign w:val="center"/>
          </w:tcPr>
          <w:p>
            <w:r>
              <w:rPr>
                <w:rFonts w:ascii="Arial" w:hAnsi="Arial"/>
                <w:sz w:val="15"/>
              </w:rPr>
              <w:t>EfficientNet-B0</w:t>
            </w:r>
          </w:p>
        </w:tc>
        <w:tc>
          <w:tcPr>
            <w:tcW w:type="dxa" w:w="1130"/>
            <w:vAlign w:val="center"/>
          </w:tcPr>
          <w:p>
            <w:r>
              <w:rPr>
                <w:rFonts w:ascii="Arial" w:hAnsi="Arial"/>
                <w:sz w:val="15"/>
              </w:rPr>
              <w:t>-0.017</w:t>
            </w:r>
          </w:p>
        </w:tc>
        <w:tc>
          <w:tcPr>
            <w:tcW w:type="dxa" w:w="1130"/>
            <w:vAlign w:val="center"/>
          </w:tcPr>
          <w:p>
            <w:r>
              <w:rPr>
                <w:rFonts w:ascii="Arial" w:hAnsi="Arial"/>
                <w:sz w:val="15"/>
              </w:rPr>
              <w:t>-0.044</w:t>
            </w:r>
          </w:p>
        </w:tc>
        <w:tc>
          <w:tcPr>
            <w:tcW w:type="dxa" w:w="1130"/>
            <w:vAlign w:val="center"/>
          </w:tcPr>
          <w:p>
            <w:r>
              <w:rPr>
                <w:rFonts w:ascii="Arial" w:hAnsi="Arial"/>
                <w:sz w:val="15"/>
              </w:rPr>
              <w:t>0.007</w:t>
            </w:r>
          </w:p>
        </w:tc>
        <w:tc>
          <w:tcPr>
            <w:tcW w:type="dxa" w:w="1130"/>
            <w:vAlign w:val="center"/>
          </w:tcPr>
          <w:p>
            <w:r>
              <w:rPr>
                <w:rFonts w:ascii="Arial" w:hAnsi="Arial"/>
                <w:sz w:val="15"/>
              </w:rPr>
              <w:t>False</w:t>
            </w:r>
          </w:p>
        </w:tc>
      </w:tr>
    </w:tbl>
    <w:p>
      <w:pPr>
        <w:pStyle w:val="Heading2"/>
      </w:pPr>
      <w:r>
        <w:t>Supplementary excerpt: AUPRC baseline/lift</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shd w:fill="D9EAF7"/>
          </w:tcPr>
          <w:p>
            <w:r>
              <w:rPr>
                <w:rFonts w:ascii="Arial" w:hAnsi="Arial"/>
                <w:b/>
                <w:sz w:val="16"/>
              </w:rPr>
              <w:t>model</w:t>
            </w:r>
          </w:p>
        </w:tc>
        <w:tc>
          <w:tcPr>
            <w:tcW w:type="dxa" w:w="1271"/>
            <w:vAlign w:val="center"/>
            <w:shd w:fill="D9EAF7"/>
          </w:tcPr>
          <w:p>
            <w:r>
              <w:rPr>
                <w:rFonts w:ascii="Arial" w:hAnsi="Arial"/>
                <w:b/>
                <w:sz w:val="16"/>
              </w:rPr>
              <w:t>dataset</w:t>
            </w:r>
          </w:p>
        </w:tc>
        <w:tc>
          <w:tcPr>
            <w:tcW w:type="dxa" w:w="1271"/>
            <w:vAlign w:val="center"/>
            <w:shd w:fill="D9EAF7"/>
          </w:tcPr>
          <w:p>
            <w:r>
              <w:rPr>
                <w:rFonts w:ascii="Arial" w:hAnsi="Arial"/>
                <w:b/>
                <w:sz w:val="16"/>
              </w:rPr>
              <w:t>label</w:t>
            </w:r>
          </w:p>
        </w:tc>
        <w:tc>
          <w:tcPr>
            <w:tcW w:type="dxa" w:w="1271"/>
            <w:vAlign w:val="center"/>
            <w:shd w:fill="D9EAF7"/>
          </w:tcPr>
          <w:p>
            <w:r>
              <w:rPr>
                <w:rFonts w:ascii="Arial" w:hAnsi="Arial"/>
                <w:b/>
                <w:sz w:val="16"/>
              </w:rPr>
              <w:t>positives</w:t>
            </w:r>
          </w:p>
        </w:tc>
        <w:tc>
          <w:tcPr>
            <w:tcW w:type="dxa" w:w="1271"/>
            <w:vAlign w:val="center"/>
            <w:shd w:fill="D9EAF7"/>
          </w:tcPr>
          <w:p>
            <w:r>
              <w:rPr>
                <w:rFonts w:ascii="Arial" w:hAnsi="Arial"/>
                <w:b/>
                <w:sz w:val="16"/>
              </w:rPr>
              <w:t>auprc</w:t>
            </w:r>
          </w:p>
        </w:tc>
        <w:tc>
          <w:tcPr>
            <w:tcW w:type="dxa" w:w="1271"/>
            <w:vAlign w:val="center"/>
            <w:shd w:fill="D9EAF7"/>
          </w:tcPr>
          <w:p>
            <w:r>
              <w:rPr>
                <w:rFonts w:ascii="Arial" w:hAnsi="Arial"/>
                <w:b/>
                <w:sz w:val="16"/>
              </w:rPr>
              <w:t>auprc_baseline_prevalence</w:t>
            </w:r>
          </w:p>
        </w:tc>
        <w:tc>
          <w:tcPr>
            <w:tcW w:type="dxa" w:w="1271"/>
            <w:vAlign w:val="center"/>
            <w:shd w:fill="D9EAF7"/>
          </w:tcPr>
          <w:p>
            <w:r>
              <w:rPr>
                <w:rFonts w:ascii="Arial" w:hAnsi="Arial"/>
                <w:b/>
                <w:sz w:val="16"/>
              </w:rPr>
              <w:t>auprc_lift_over_prevalence</w:t>
            </w:r>
          </w:p>
        </w:tc>
        <w:tc>
          <w:tcPr>
            <w:tcW w:type="dxa" w:w="1271"/>
            <w:vAlign w:val="center"/>
            <w:shd w:fill="D9EAF7"/>
          </w:tcPr>
          <w:p>
            <w:r>
              <w:rPr>
                <w:rFonts w:ascii="Arial" w:hAnsi="Arial"/>
                <w:b/>
                <w:sz w:val="16"/>
              </w:rPr>
              <w:t>status</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Atelectasis</w:t>
            </w:r>
          </w:p>
        </w:tc>
        <w:tc>
          <w:tcPr>
            <w:tcW w:type="dxa" w:w="1271"/>
            <w:vAlign w:val="center"/>
          </w:tcPr>
          <w:p>
            <w:r>
              <w:rPr>
                <w:rFonts w:ascii="Arial" w:hAnsi="Arial"/>
                <w:sz w:val="16"/>
              </w:rPr>
              <w:t>89</w:t>
            </w:r>
          </w:p>
        </w:tc>
        <w:tc>
          <w:tcPr>
            <w:tcW w:type="dxa" w:w="1271"/>
            <w:vAlign w:val="center"/>
          </w:tcPr>
          <w:p>
            <w:r>
              <w:rPr>
                <w:rFonts w:ascii="Arial" w:hAnsi="Arial"/>
                <w:sz w:val="16"/>
              </w:rPr>
              <w:t>0.222</w:t>
            </w:r>
          </w:p>
        </w:tc>
        <w:tc>
          <w:tcPr>
            <w:tcW w:type="dxa" w:w="1271"/>
            <w:vAlign w:val="center"/>
          </w:tcPr>
          <w:p>
            <w:r>
              <w:rPr>
                <w:rFonts w:ascii="Arial" w:hAnsi="Arial"/>
                <w:sz w:val="16"/>
              </w:rPr>
              <w:t>0.120</w:t>
            </w:r>
          </w:p>
        </w:tc>
        <w:tc>
          <w:tcPr>
            <w:tcW w:type="dxa" w:w="1271"/>
            <w:vAlign w:val="center"/>
          </w:tcPr>
          <w:p>
            <w:r>
              <w:rPr>
                <w:rFonts w:ascii="Arial" w:hAnsi="Arial"/>
                <w:sz w:val="16"/>
              </w:rPr>
              <w:t>1.847</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Cardiomegaly</w:t>
            </w:r>
          </w:p>
        </w:tc>
        <w:tc>
          <w:tcPr>
            <w:tcW w:type="dxa" w:w="1271"/>
            <w:vAlign w:val="center"/>
          </w:tcPr>
          <w:p>
            <w:r>
              <w:rPr>
                <w:rFonts w:ascii="Arial" w:hAnsi="Arial"/>
                <w:sz w:val="16"/>
              </w:rPr>
              <w:t>26</w:t>
            </w:r>
          </w:p>
        </w:tc>
        <w:tc>
          <w:tcPr>
            <w:tcW w:type="dxa" w:w="1271"/>
            <w:vAlign w:val="center"/>
          </w:tcPr>
          <w:p>
            <w:r>
              <w:rPr>
                <w:rFonts w:ascii="Arial" w:hAnsi="Arial"/>
                <w:sz w:val="16"/>
              </w:rPr>
              <w:t>0.119</w:t>
            </w:r>
          </w:p>
        </w:tc>
        <w:tc>
          <w:tcPr>
            <w:tcW w:type="dxa" w:w="1271"/>
            <w:vAlign w:val="center"/>
          </w:tcPr>
          <w:p>
            <w:r>
              <w:rPr>
                <w:rFonts w:ascii="Arial" w:hAnsi="Arial"/>
                <w:sz w:val="16"/>
              </w:rPr>
              <w:t>0.035</w:t>
            </w:r>
          </w:p>
        </w:tc>
        <w:tc>
          <w:tcPr>
            <w:tcW w:type="dxa" w:w="1271"/>
            <w:vAlign w:val="center"/>
          </w:tcPr>
          <w:p>
            <w:r>
              <w:rPr>
                <w:rFonts w:ascii="Arial" w:hAnsi="Arial"/>
                <w:sz w:val="16"/>
              </w:rPr>
              <w:t>3.368</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Pleural Effusion</w:t>
            </w:r>
          </w:p>
        </w:tc>
        <w:tc>
          <w:tcPr>
            <w:tcW w:type="dxa" w:w="1271"/>
            <w:vAlign w:val="center"/>
          </w:tcPr>
          <w:p>
            <w:r>
              <w:rPr>
                <w:rFonts w:ascii="Arial" w:hAnsi="Arial"/>
                <w:sz w:val="16"/>
              </w:rPr>
              <w:t>109</w:t>
            </w:r>
          </w:p>
        </w:tc>
        <w:tc>
          <w:tcPr>
            <w:tcW w:type="dxa" w:w="1271"/>
            <w:vAlign w:val="center"/>
          </w:tcPr>
          <w:p>
            <w:r>
              <w:rPr>
                <w:rFonts w:ascii="Arial" w:hAnsi="Arial"/>
                <w:sz w:val="16"/>
              </w:rPr>
              <w:t>0.335</w:t>
            </w:r>
          </w:p>
        </w:tc>
        <w:tc>
          <w:tcPr>
            <w:tcW w:type="dxa" w:w="1271"/>
            <w:vAlign w:val="center"/>
          </w:tcPr>
          <w:p>
            <w:r>
              <w:rPr>
                <w:rFonts w:ascii="Arial" w:hAnsi="Arial"/>
                <w:sz w:val="16"/>
              </w:rPr>
              <w:t>0.147</w:t>
            </w:r>
          </w:p>
        </w:tc>
        <w:tc>
          <w:tcPr>
            <w:tcW w:type="dxa" w:w="1271"/>
            <w:vAlign w:val="center"/>
          </w:tcPr>
          <w:p>
            <w:r>
              <w:rPr>
                <w:rFonts w:ascii="Arial" w:hAnsi="Arial"/>
                <w:sz w:val="16"/>
              </w:rPr>
              <w:t>2.273</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Pneumothorax</w:t>
            </w:r>
          </w:p>
        </w:tc>
        <w:tc>
          <w:tcPr>
            <w:tcW w:type="dxa" w:w="1271"/>
            <w:vAlign w:val="center"/>
          </w:tcPr>
          <w:p>
            <w:r>
              <w:rPr>
                <w:rFonts w:ascii="Arial" w:hAnsi="Arial"/>
                <w:sz w:val="16"/>
              </w:rPr>
              <w:t>42</w:t>
            </w:r>
          </w:p>
        </w:tc>
        <w:tc>
          <w:tcPr>
            <w:tcW w:type="dxa" w:w="1271"/>
            <w:vAlign w:val="center"/>
          </w:tcPr>
          <w:p>
            <w:r>
              <w:rPr>
                <w:rFonts w:ascii="Arial" w:hAnsi="Arial"/>
                <w:sz w:val="16"/>
              </w:rPr>
              <w:t>0.198</w:t>
            </w:r>
          </w:p>
        </w:tc>
        <w:tc>
          <w:tcPr>
            <w:tcW w:type="dxa" w:w="1271"/>
            <w:vAlign w:val="center"/>
          </w:tcPr>
          <w:p>
            <w:r>
              <w:rPr>
                <w:rFonts w:ascii="Arial" w:hAnsi="Arial"/>
                <w:sz w:val="16"/>
              </w:rPr>
              <w:t>0.057</w:t>
            </w:r>
          </w:p>
        </w:tc>
        <w:tc>
          <w:tcPr>
            <w:tcW w:type="dxa" w:w="1271"/>
            <w:vAlign w:val="center"/>
          </w:tcPr>
          <w:p>
            <w:r>
              <w:rPr>
                <w:rFonts w:ascii="Arial" w:hAnsi="Arial"/>
                <w:sz w:val="16"/>
              </w:rPr>
              <w:t>3.487</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Consolidation</w:t>
            </w:r>
          </w:p>
        </w:tc>
        <w:tc>
          <w:tcPr>
            <w:tcW w:type="dxa" w:w="1271"/>
            <w:vAlign w:val="center"/>
          </w:tcPr>
          <w:p>
            <w:r>
              <w:rPr>
                <w:rFonts w:ascii="Arial" w:hAnsi="Arial"/>
                <w:sz w:val="16"/>
              </w:rPr>
              <w:t>41</w:t>
            </w:r>
          </w:p>
        </w:tc>
        <w:tc>
          <w:tcPr>
            <w:tcW w:type="dxa" w:w="1271"/>
            <w:vAlign w:val="center"/>
          </w:tcPr>
          <w:p>
            <w:r>
              <w:rPr>
                <w:rFonts w:ascii="Arial" w:hAnsi="Arial"/>
                <w:sz w:val="16"/>
              </w:rPr>
              <w:t>0.076</w:t>
            </w:r>
          </w:p>
        </w:tc>
        <w:tc>
          <w:tcPr>
            <w:tcW w:type="dxa" w:w="1271"/>
            <w:vAlign w:val="center"/>
          </w:tcPr>
          <w:p>
            <w:r>
              <w:rPr>
                <w:rFonts w:ascii="Arial" w:hAnsi="Arial"/>
                <w:sz w:val="16"/>
              </w:rPr>
              <w:t>0.055</w:t>
            </w:r>
          </w:p>
        </w:tc>
        <w:tc>
          <w:tcPr>
            <w:tcW w:type="dxa" w:w="1271"/>
            <w:vAlign w:val="center"/>
          </w:tcPr>
          <w:p>
            <w:r>
              <w:rPr>
                <w:rFonts w:ascii="Arial" w:hAnsi="Arial"/>
                <w:sz w:val="16"/>
              </w:rPr>
              <w:t>1.368</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Edema</w:t>
            </w:r>
          </w:p>
        </w:tc>
        <w:tc>
          <w:tcPr>
            <w:tcW w:type="dxa" w:w="1271"/>
            <w:vAlign w:val="center"/>
          </w:tcPr>
          <w:p>
            <w:r>
              <w:rPr>
                <w:rFonts w:ascii="Arial" w:hAnsi="Arial"/>
                <w:sz w:val="16"/>
              </w:rPr>
              <w:t>15</w:t>
            </w:r>
          </w:p>
        </w:tc>
        <w:tc>
          <w:tcPr>
            <w:tcW w:type="dxa" w:w="1271"/>
            <w:vAlign w:val="center"/>
          </w:tcPr>
          <w:p>
            <w:r>
              <w:rPr>
                <w:rFonts w:ascii="Arial" w:hAnsi="Arial"/>
                <w:sz w:val="16"/>
              </w:rPr>
              <w:t>0.059</w:t>
            </w:r>
          </w:p>
        </w:tc>
        <w:tc>
          <w:tcPr>
            <w:tcW w:type="dxa" w:w="1271"/>
            <w:vAlign w:val="center"/>
          </w:tcPr>
          <w:p>
            <w:r>
              <w:rPr>
                <w:rFonts w:ascii="Arial" w:hAnsi="Arial"/>
                <w:sz w:val="16"/>
              </w:rPr>
              <w:t>0.020</w:t>
            </w:r>
          </w:p>
        </w:tc>
        <w:tc>
          <w:tcPr>
            <w:tcW w:type="dxa" w:w="1271"/>
            <w:vAlign w:val="center"/>
          </w:tcPr>
          <w:p>
            <w:r>
              <w:rPr>
                <w:rFonts w:ascii="Arial" w:hAnsi="Arial"/>
                <w:sz w:val="16"/>
              </w:rPr>
              <w:t>2.910</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Pneumonia</w:t>
            </w:r>
          </w:p>
        </w:tc>
        <w:tc>
          <w:tcPr>
            <w:tcW w:type="dxa" w:w="1271"/>
            <w:vAlign w:val="center"/>
          </w:tcPr>
          <w:p>
            <w:r>
              <w:rPr>
                <w:rFonts w:ascii="Arial" w:hAnsi="Arial"/>
                <w:sz w:val="16"/>
              </w:rPr>
              <w:t>17</w:t>
            </w:r>
          </w:p>
        </w:tc>
        <w:tc>
          <w:tcPr>
            <w:tcW w:type="dxa" w:w="1271"/>
            <w:vAlign w:val="center"/>
          </w:tcPr>
          <w:p>
            <w:r>
              <w:rPr>
                <w:rFonts w:ascii="Arial" w:hAnsi="Arial"/>
                <w:sz w:val="16"/>
              </w:rPr>
              <w:t>0.037</w:t>
            </w:r>
          </w:p>
        </w:tc>
        <w:tc>
          <w:tcPr>
            <w:tcW w:type="dxa" w:w="1271"/>
            <w:vAlign w:val="center"/>
          </w:tcPr>
          <w:p>
            <w:r>
              <w:rPr>
                <w:rFonts w:ascii="Arial" w:hAnsi="Arial"/>
                <w:sz w:val="16"/>
              </w:rPr>
              <w:t>0.023</w:t>
            </w:r>
          </w:p>
        </w:tc>
        <w:tc>
          <w:tcPr>
            <w:tcW w:type="dxa" w:w="1271"/>
            <w:vAlign w:val="center"/>
          </w:tcPr>
          <w:p>
            <w:r>
              <w:rPr>
                <w:rFonts w:ascii="Arial" w:hAnsi="Arial"/>
                <w:sz w:val="16"/>
              </w:rPr>
              <w:t>1.608</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NIH internal test</w:t>
            </w:r>
          </w:p>
        </w:tc>
        <w:tc>
          <w:tcPr>
            <w:tcW w:type="dxa" w:w="1271"/>
            <w:vAlign w:val="center"/>
          </w:tcPr>
          <w:p>
            <w:r>
              <w:rPr>
                <w:rFonts w:ascii="Arial" w:hAnsi="Arial"/>
                <w:sz w:val="16"/>
              </w:rPr>
              <w:t>No Finding</w:t>
            </w:r>
          </w:p>
        </w:tc>
        <w:tc>
          <w:tcPr>
            <w:tcW w:type="dxa" w:w="1271"/>
            <w:vAlign w:val="center"/>
          </w:tcPr>
          <w:p>
            <w:r>
              <w:rPr>
                <w:rFonts w:ascii="Arial" w:hAnsi="Arial"/>
                <w:sz w:val="16"/>
              </w:rPr>
              <w:t>375</w:t>
            </w:r>
          </w:p>
        </w:tc>
        <w:tc>
          <w:tcPr>
            <w:tcW w:type="dxa" w:w="1271"/>
            <w:vAlign w:val="center"/>
          </w:tcPr>
          <w:p>
            <w:r>
              <w:rPr>
                <w:rFonts w:ascii="Arial" w:hAnsi="Arial"/>
                <w:sz w:val="16"/>
              </w:rPr>
              <w:t>0.662</w:t>
            </w:r>
          </w:p>
        </w:tc>
        <w:tc>
          <w:tcPr>
            <w:tcW w:type="dxa" w:w="1271"/>
            <w:vAlign w:val="center"/>
          </w:tcPr>
          <w:p>
            <w:r>
              <w:rPr>
                <w:rFonts w:ascii="Arial" w:hAnsi="Arial"/>
                <w:sz w:val="16"/>
              </w:rPr>
              <w:t>0.507</w:t>
            </w:r>
          </w:p>
        </w:tc>
        <w:tc>
          <w:tcPr>
            <w:tcW w:type="dxa" w:w="1271"/>
            <w:vAlign w:val="center"/>
          </w:tcPr>
          <w:p>
            <w:r>
              <w:rPr>
                <w:rFonts w:ascii="Arial" w:hAnsi="Arial"/>
                <w:sz w:val="16"/>
              </w:rPr>
              <w:t>1.304</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Atelectasis</w:t>
            </w:r>
          </w:p>
        </w:tc>
        <w:tc>
          <w:tcPr>
            <w:tcW w:type="dxa" w:w="1271"/>
            <w:vAlign w:val="center"/>
          </w:tcPr>
          <w:p>
            <w:r>
              <w:rPr>
                <w:rFonts w:ascii="Arial" w:hAnsi="Arial"/>
                <w:sz w:val="16"/>
              </w:rPr>
              <w:t>131</w:t>
            </w:r>
          </w:p>
        </w:tc>
        <w:tc>
          <w:tcPr>
            <w:tcW w:type="dxa" w:w="1271"/>
            <w:vAlign w:val="center"/>
          </w:tcPr>
          <w:p>
            <w:r>
              <w:rPr>
                <w:rFonts w:ascii="Arial" w:hAnsi="Arial"/>
                <w:sz w:val="16"/>
              </w:rPr>
              <w:t>0.157</w:t>
            </w:r>
          </w:p>
        </w:tc>
        <w:tc>
          <w:tcPr>
            <w:tcW w:type="dxa" w:w="1271"/>
            <w:vAlign w:val="center"/>
          </w:tcPr>
          <w:p>
            <w:r>
              <w:rPr>
                <w:rFonts w:ascii="Arial" w:hAnsi="Arial"/>
                <w:sz w:val="16"/>
              </w:rPr>
              <w:t>0.131</w:t>
            </w:r>
          </w:p>
        </w:tc>
        <w:tc>
          <w:tcPr>
            <w:tcW w:type="dxa" w:w="1271"/>
            <w:vAlign w:val="center"/>
          </w:tcPr>
          <w:p>
            <w:r>
              <w:rPr>
                <w:rFonts w:ascii="Arial" w:hAnsi="Arial"/>
                <w:sz w:val="16"/>
              </w:rPr>
              <w:t>1.195</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Cardiomegaly</w:t>
            </w:r>
          </w:p>
        </w:tc>
        <w:tc>
          <w:tcPr>
            <w:tcW w:type="dxa" w:w="1271"/>
            <w:vAlign w:val="center"/>
          </w:tcPr>
          <w:p>
            <w:r>
              <w:rPr>
                <w:rFonts w:ascii="Arial" w:hAnsi="Arial"/>
                <w:sz w:val="16"/>
              </w:rPr>
              <w:t>276</w:t>
            </w:r>
          </w:p>
        </w:tc>
        <w:tc>
          <w:tcPr>
            <w:tcW w:type="dxa" w:w="1271"/>
            <w:vAlign w:val="center"/>
          </w:tcPr>
          <w:p>
            <w:r>
              <w:rPr>
                <w:rFonts w:ascii="Arial" w:hAnsi="Arial"/>
                <w:sz w:val="16"/>
              </w:rPr>
              <w:t>0.565</w:t>
            </w:r>
          </w:p>
        </w:tc>
        <w:tc>
          <w:tcPr>
            <w:tcW w:type="dxa" w:w="1271"/>
            <w:vAlign w:val="center"/>
          </w:tcPr>
          <w:p>
            <w:r>
              <w:rPr>
                <w:rFonts w:ascii="Arial" w:hAnsi="Arial"/>
                <w:sz w:val="16"/>
              </w:rPr>
              <w:t>0.276</w:t>
            </w:r>
          </w:p>
        </w:tc>
        <w:tc>
          <w:tcPr>
            <w:tcW w:type="dxa" w:w="1271"/>
            <w:vAlign w:val="center"/>
          </w:tcPr>
          <w:p>
            <w:r>
              <w:rPr>
                <w:rFonts w:ascii="Arial" w:hAnsi="Arial"/>
                <w:sz w:val="16"/>
              </w:rPr>
              <w:t>2.046</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Pleural Effusion</w:t>
            </w:r>
          </w:p>
        </w:tc>
        <w:tc>
          <w:tcPr>
            <w:tcW w:type="dxa" w:w="1271"/>
            <w:vAlign w:val="center"/>
          </w:tcPr>
          <w:p>
            <w:r>
              <w:rPr>
                <w:rFonts w:ascii="Arial" w:hAnsi="Arial"/>
                <w:sz w:val="16"/>
              </w:rPr>
              <w:t>288</w:t>
            </w:r>
          </w:p>
        </w:tc>
        <w:tc>
          <w:tcPr>
            <w:tcW w:type="dxa" w:w="1271"/>
            <w:vAlign w:val="center"/>
          </w:tcPr>
          <w:p>
            <w:r>
              <w:rPr>
                <w:rFonts w:ascii="Arial" w:hAnsi="Arial"/>
                <w:sz w:val="16"/>
              </w:rPr>
              <w:t>0.637</w:t>
            </w:r>
          </w:p>
        </w:tc>
        <w:tc>
          <w:tcPr>
            <w:tcW w:type="dxa" w:w="1271"/>
            <w:vAlign w:val="center"/>
          </w:tcPr>
          <w:p>
            <w:r>
              <w:rPr>
                <w:rFonts w:ascii="Arial" w:hAnsi="Arial"/>
                <w:sz w:val="16"/>
              </w:rPr>
              <w:t>0.288</w:t>
            </w:r>
          </w:p>
        </w:tc>
        <w:tc>
          <w:tcPr>
            <w:tcW w:type="dxa" w:w="1271"/>
            <w:vAlign w:val="center"/>
          </w:tcPr>
          <w:p>
            <w:r>
              <w:rPr>
                <w:rFonts w:ascii="Arial" w:hAnsi="Arial"/>
                <w:sz w:val="16"/>
              </w:rPr>
              <w:t>2.213</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Pneumothorax</w:t>
            </w:r>
          </w:p>
        </w:tc>
        <w:tc>
          <w:tcPr>
            <w:tcW w:type="dxa" w:w="1271"/>
            <w:vAlign w:val="center"/>
          </w:tcPr>
          <w:p>
            <w:r>
              <w:rPr>
                <w:rFonts w:ascii="Arial" w:hAnsi="Arial"/>
                <w:sz w:val="16"/>
              </w:rPr>
              <w:t>59</w:t>
            </w:r>
          </w:p>
        </w:tc>
        <w:tc>
          <w:tcPr>
            <w:tcW w:type="dxa" w:w="1271"/>
            <w:vAlign w:val="center"/>
          </w:tcPr>
          <w:p>
            <w:r>
              <w:rPr>
                <w:rFonts w:ascii="Arial" w:hAnsi="Arial"/>
                <w:sz w:val="16"/>
              </w:rPr>
              <w:t>0.092</w:t>
            </w:r>
          </w:p>
        </w:tc>
        <w:tc>
          <w:tcPr>
            <w:tcW w:type="dxa" w:w="1271"/>
            <w:vAlign w:val="center"/>
          </w:tcPr>
          <w:p>
            <w:r>
              <w:rPr>
                <w:rFonts w:ascii="Arial" w:hAnsi="Arial"/>
                <w:sz w:val="16"/>
              </w:rPr>
              <w:t>0.059</w:t>
            </w:r>
          </w:p>
        </w:tc>
        <w:tc>
          <w:tcPr>
            <w:tcW w:type="dxa" w:w="1271"/>
            <w:vAlign w:val="center"/>
          </w:tcPr>
          <w:p>
            <w:r>
              <w:rPr>
                <w:rFonts w:ascii="Arial" w:hAnsi="Arial"/>
                <w:sz w:val="16"/>
              </w:rPr>
              <w:t>1.552</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Consolidation</w:t>
            </w:r>
          </w:p>
        </w:tc>
        <w:tc>
          <w:tcPr>
            <w:tcW w:type="dxa" w:w="1271"/>
            <w:vAlign w:val="center"/>
          </w:tcPr>
          <w:p>
            <w:r>
              <w:rPr>
                <w:rFonts w:ascii="Arial" w:hAnsi="Arial"/>
                <w:sz w:val="16"/>
              </w:rPr>
              <w:t>175</w:t>
            </w:r>
          </w:p>
        </w:tc>
        <w:tc>
          <w:tcPr>
            <w:tcW w:type="dxa" w:w="1271"/>
            <w:vAlign w:val="center"/>
          </w:tcPr>
          <w:p>
            <w:r>
              <w:rPr>
                <w:rFonts w:ascii="Arial" w:hAnsi="Arial"/>
                <w:sz w:val="16"/>
              </w:rPr>
              <w:t>0.374</w:t>
            </w:r>
          </w:p>
        </w:tc>
        <w:tc>
          <w:tcPr>
            <w:tcW w:type="dxa" w:w="1271"/>
            <w:vAlign w:val="center"/>
          </w:tcPr>
          <w:p>
            <w:r>
              <w:rPr>
                <w:rFonts w:ascii="Arial" w:hAnsi="Arial"/>
                <w:sz w:val="16"/>
              </w:rPr>
              <w:t>0.175</w:t>
            </w:r>
          </w:p>
        </w:tc>
        <w:tc>
          <w:tcPr>
            <w:tcW w:type="dxa" w:w="1271"/>
            <w:vAlign w:val="center"/>
          </w:tcPr>
          <w:p>
            <w:r>
              <w:rPr>
                <w:rFonts w:ascii="Arial" w:hAnsi="Arial"/>
                <w:sz w:val="16"/>
              </w:rPr>
              <w:t>2.138</w:t>
            </w:r>
          </w:p>
        </w:tc>
        <w:tc>
          <w:tcPr>
            <w:tcW w:type="dxa" w:w="1271"/>
            <w:vAlign w:val="center"/>
          </w:tcPr>
          <w:p>
            <w:r>
              <w:rPr>
                <w:rFonts w:ascii="Arial" w:hAnsi="Arial"/>
                <w:sz w:val="16"/>
              </w:rPr>
              <w:t>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Edema</w:t>
            </w:r>
          </w:p>
        </w:tc>
        <w:tc>
          <w:tcPr>
            <w:tcW w:type="dxa" w:w="1271"/>
            <w:vAlign w:val="center"/>
          </w:tcPr>
          <w:p>
            <w:r>
              <w:rPr>
                <w:rFonts w:ascii="Arial" w:hAnsi="Arial"/>
                <w:sz w:val="16"/>
              </w:rPr>
              <w:t>0</w:t>
            </w:r>
          </w:p>
        </w:tc>
        <w:tc>
          <w:tcPr>
            <w:tcW w:type="dxa" w:w="1271"/>
            <w:vAlign w:val="center"/>
          </w:tcPr>
          <w:p>
            <w:r>
              <w:rPr>
                <w:rFonts w:ascii="Arial" w:hAnsi="Arial"/>
                <w:sz w:val="16"/>
              </w:rPr>
              <w:t>NA</w:t>
            </w:r>
          </w:p>
        </w:tc>
        <w:tc>
          <w:tcPr>
            <w:tcW w:type="dxa" w:w="1271"/>
            <w:vAlign w:val="center"/>
          </w:tcPr>
          <w:p>
            <w:r>
              <w:rPr>
                <w:rFonts w:ascii="Arial" w:hAnsi="Arial"/>
                <w:sz w:val="16"/>
              </w:rPr>
              <w:t>0.000</w:t>
            </w:r>
          </w:p>
        </w:tc>
        <w:tc>
          <w:tcPr>
            <w:tcW w:type="dxa" w:w="1271"/>
            <w:vAlign w:val="center"/>
          </w:tcPr>
          <w:p>
            <w:r>
              <w:rPr>
                <w:rFonts w:ascii="Arial" w:hAnsi="Arial"/>
                <w:sz w:val="16"/>
              </w:rPr>
              <w:t>NA</w:t>
            </w:r>
          </w:p>
        </w:tc>
        <w:tc>
          <w:tcPr>
            <w:tcW w:type="dxa" w:w="1271"/>
            <w:vAlign w:val="center"/>
          </w:tcPr>
          <w:p>
            <w:r>
              <w:rPr>
                <w:rFonts w:ascii="Arial" w:hAnsi="Arial"/>
                <w:sz w:val="16"/>
              </w:rPr>
              <w:t>not 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Pneumonia</w:t>
            </w:r>
          </w:p>
        </w:tc>
        <w:tc>
          <w:tcPr>
            <w:tcW w:type="dxa" w:w="1271"/>
            <w:vAlign w:val="center"/>
          </w:tcPr>
          <w:p>
            <w:r>
              <w:rPr>
                <w:rFonts w:ascii="Arial" w:hAnsi="Arial"/>
                <w:sz w:val="16"/>
              </w:rPr>
              <w:t>0</w:t>
            </w:r>
          </w:p>
        </w:tc>
        <w:tc>
          <w:tcPr>
            <w:tcW w:type="dxa" w:w="1271"/>
            <w:vAlign w:val="center"/>
          </w:tcPr>
          <w:p>
            <w:r>
              <w:rPr>
                <w:rFonts w:ascii="Arial" w:hAnsi="Arial"/>
                <w:sz w:val="16"/>
              </w:rPr>
              <w:t>NA</w:t>
            </w:r>
          </w:p>
        </w:tc>
        <w:tc>
          <w:tcPr>
            <w:tcW w:type="dxa" w:w="1271"/>
            <w:vAlign w:val="center"/>
          </w:tcPr>
          <w:p>
            <w:r>
              <w:rPr>
                <w:rFonts w:ascii="Arial" w:hAnsi="Arial"/>
                <w:sz w:val="16"/>
              </w:rPr>
              <w:t>0.000</w:t>
            </w:r>
          </w:p>
        </w:tc>
        <w:tc>
          <w:tcPr>
            <w:tcW w:type="dxa" w:w="1271"/>
            <w:vAlign w:val="center"/>
          </w:tcPr>
          <w:p>
            <w:r>
              <w:rPr>
                <w:rFonts w:ascii="Arial" w:hAnsi="Arial"/>
                <w:sz w:val="16"/>
              </w:rPr>
              <w:t>NA</w:t>
            </w:r>
          </w:p>
        </w:tc>
        <w:tc>
          <w:tcPr>
            <w:tcW w:type="dxa" w:w="1271"/>
            <w:vAlign w:val="center"/>
          </w:tcPr>
          <w:p>
            <w:r>
              <w:rPr>
                <w:rFonts w:ascii="Arial" w:hAnsi="Arial"/>
                <w:sz w:val="16"/>
              </w:rPr>
              <w:t>not evaluable</w:t>
            </w:r>
          </w:p>
        </w:tc>
      </w:tr>
      <w:tr>
        <w:tc>
          <w:tcPr>
            <w:tcW w:type="dxa" w:w="1271"/>
            <w:vAlign w:val="center"/>
          </w:tcPr>
          <w:p>
            <w:r>
              <w:rPr>
                <w:rFonts w:ascii="Arial" w:hAnsi="Arial"/>
                <w:sz w:val="16"/>
              </w:rPr>
              <w:t>DenseNet121</w:t>
            </w:r>
          </w:p>
        </w:tc>
        <w:tc>
          <w:tcPr>
            <w:tcW w:type="dxa" w:w="1271"/>
            <w:vAlign w:val="center"/>
          </w:tcPr>
          <w:p>
            <w:r>
              <w:rPr>
                <w:rFonts w:ascii="Arial" w:hAnsi="Arial"/>
                <w:sz w:val="16"/>
              </w:rPr>
              <w:t>VinDr external</w:t>
            </w:r>
          </w:p>
        </w:tc>
        <w:tc>
          <w:tcPr>
            <w:tcW w:type="dxa" w:w="1271"/>
            <w:vAlign w:val="center"/>
          </w:tcPr>
          <w:p>
            <w:r>
              <w:rPr>
                <w:rFonts w:ascii="Arial" w:hAnsi="Arial"/>
                <w:sz w:val="16"/>
              </w:rPr>
              <w:t>No Finding</w:t>
            </w:r>
          </w:p>
        </w:tc>
        <w:tc>
          <w:tcPr>
            <w:tcW w:type="dxa" w:w="1271"/>
            <w:vAlign w:val="center"/>
          </w:tcPr>
          <w:p>
            <w:r>
              <w:rPr>
                <w:rFonts w:ascii="Arial" w:hAnsi="Arial"/>
                <w:sz w:val="16"/>
              </w:rPr>
              <w:t>414</w:t>
            </w:r>
          </w:p>
        </w:tc>
        <w:tc>
          <w:tcPr>
            <w:tcW w:type="dxa" w:w="1271"/>
            <w:vAlign w:val="center"/>
          </w:tcPr>
          <w:p>
            <w:r>
              <w:rPr>
                <w:rFonts w:ascii="Arial" w:hAnsi="Arial"/>
                <w:sz w:val="16"/>
              </w:rPr>
              <w:t>0.782</w:t>
            </w:r>
          </w:p>
        </w:tc>
        <w:tc>
          <w:tcPr>
            <w:tcW w:type="dxa" w:w="1271"/>
            <w:vAlign w:val="center"/>
          </w:tcPr>
          <w:p>
            <w:r>
              <w:rPr>
                <w:rFonts w:ascii="Arial" w:hAnsi="Arial"/>
                <w:sz w:val="16"/>
              </w:rPr>
              <w:t>0.414</w:t>
            </w:r>
          </w:p>
        </w:tc>
        <w:tc>
          <w:tcPr>
            <w:tcW w:type="dxa" w:w="1271"/>
            <w:vAlign w:val="center"/>
          </w:tcPr>
          <w:p>
            <w:r>
              <w:rPr>
                <w:rFonts w:ascii="Arial" w:hAnsi="Arial"/>
                <w:sz w:val="16"/>
              </w:rPr>
              <w:t>1.888</w:t>
            </w:r>
          </w:p>
        </w:tc>
        <w:tc>
          <w:tcPr>
            <w:tcW w:type="dxa" w:w="1271"/>
            <w:vAlign w:val="center"/>
          </w:tcPr>
          <w:p>
            <w:r>
              <w:rPr>
                <w:rFonts w:ascii="Arial" w:hAnsi="Arial"/>
                <w:sz w:val="16"/>
              </w:rPr>
              <w:t>evaluable</w:t>
            </w:r>
          </w:p>
        </w:tc>
      </w:tr>
    </w:tbl>
    <w:p>
      <w:pPr>
        <w:pStyle w:val="Heading1"/>
      </w:pPr>
      <w:r>
        <w:t>References</w:t>
      </w:r>
    </w:p>
    <w:p>
      <w:r>
        <w:t>1. Wang X, Peng Y, Lu L, Lu Z, Bagheri M, Summers RM. ChestX-ray8: Hospital-scale chest X-ray database and benchmarks on weakly-supervised classification and localization of common thorax diseases. CVPR. 2017.</w:t>
      </w:r>
    </w:p>
    <w:p>
      <w:r>
        <w:t>2. Nguyen HQ, Lam K, Le LT, et al. VinDr-CXR: An open dataset of chest X-rays with radiologist's annotations. Scientific Data. 2022;9:429.</w:t>
      </w:r>
    </w:p>
    <w:p>
      <w:r>
        <w:t>3. Irvin J, Rajpurkar P, Ko M, et al. CheXpert: A large chest radiograph dataset with uncertainty labels and expert comparison. AAAI. 2019.</w:t>
      </w:r>
    </w:p>
    <w:p>
      <w:r>
        <w:t>4. Johnson AEW, Pollard TJ, Berkowitz SJ, et al. MIMIC-CXR, a de-identified publicly available database of chest radiographs with free-text reports. Scientific Data. 2019;6:317.</w:t>
      </w:r>
    </w:p>
    <w:p>
      <w:r>
        <w:t>5. Bustos A, Pertusa A, Salinas JM, de la Iglesia-Vaya M. PadChest: A large chest x-ray image dataset with multi-label annotated reports. Medical Image Analysis. 2020;66:101797.</w:t>
      </w:r>
    </w:p>
    <w:p>
      <w:r>
        <w:t>6. Rajpurkar P, Irvin J, Zhu K, et al. CheXNet: Radiologist-level pneumonia detection on chest X-rays with deep learning. arXiv. 2017.</w:t>
      </w:r>
    </w:p>
    <w:p>
      <w:r>
        <w:t>7. Rajpurkar P, Irvin J, Ball RL, et al. Deep learning for chest radiograph diagnosis: A retrospective comparison of the CheXNeXt algorithm to practicing radiologists. PLoS Medicine. 2018;15:e1002686.</w:t>
      </w:r>
    </w:p>
    <w:p>
      <w:r>
        <w:t>8. Finlayson SG, Subbaswamy A, Singh K, et al. The clinician and dataset shift in artificial intelligence. New England Journal of Medicine. 2021;385:283-286.</w:t>
      </w:r>
    </w:p>
    <w:p>
      <w:r>
        <w:t>9. Guo C, Pleiss G, Sun Y, Weinberger KQ. On calibration of modern neural networks. ICML. 2017.</w:t>
      </w:r>
    </w:p>
    <w:p>
      <w:r>
        <w:t>10. Kuleshov V, Fenner N, Ermon S. Accurate uncertainties for deep learning using calibrated regression. ICML. 2018.</w:t>
      </w:r>
    </w:p>
    <w:p>
      <w:r>
        <w:t>11. Selvaraju RR, Cogswell M, Das A, Vedantam R, Parikh D, Batra D. Grad-CAM: Visual explanations from deep networks via gradient-based localization. ICCV. 2017.</w:t>
      </w:r>
    </w:p>
    <w:p>
      <w:r>
        <w:t>12. Chattopadhyay A, Sarkar A, Howlader P, Balasubramanian VN. Grad-CAM++: Generalized gradient-based visual explanations for deep convolutional networks. WACV. 2018.</w:t>
      </w:r>
    </w:p>
    <w:p>
      <w:r>
        <w:t>13. Huang G, Liu Z, van der Maaten L, Weinberger KQ. Densely connected convolutional networks. CVPR. 2017.</w:t>
      </w:r>
    </w:p>
    <w:p>
      <w:r>
        <w:t>14. He K, Zhang X, Ren S, Sun J. Deep residual learning for image recognition. CVPR. 2016.</w:t>
      </w:r>
    </w:p>
    <w:p>
      <w:r>
        <w:t>15. Tan M, Le QV. EfficientNet: Rethinking model scaling for convolutional neural networks. ICML. 2019.</w:t>
      </w:r>
    </w:p>
    <w:p>
      <w:r>
        <w:t>16. Mongan J, Moy L, Kahn CE Jr. Checklist for artificial intelligence in medical imaging (CLAIM): A guide for authors and reviewers. Radiology: Artificial Intelligence. 2020;2:e200029.</w:t>
      </w:r>
    </w:p>
    <w:p>
      <w:r>
        <w:t>17. Tejani AS, Klontzas ME, Gatti AA, et al. Checklist for artificial intelligence in medical imaging (CLAIM): 2024 update. Radiology: Artificial Intelligence. 2024.</w:t>
      </w:r>
    </w:p>
    <w:p>
      <w:r>
        <w:t>18. Collins GS, Dhiman P, Andaur Navarro CL, et al. Protocol for development of a reporting guideline for prediction model studies using machine learning: TRIPOD+AI. BMJ. 2024.</w:t>
      </w:r>
    </w:p>
    <w:p>
      <w:r>
        <w:t>19. Liu X, Rivera SC, Moher D, Calvert MJ, Denniston AK. Reporting guidelines for clinical trial reports for interventions involving artificial intelligence: CONSORT-AI extension. Nature Medicine. 2020.</w:t>
      </w:r>
    </w:p>
    <w:p>
      <w:r>
        <w:t>20. Rivera SC, Liu X, Chan AW, Denniston AK, Calvert MJ. Guidelines for clinical trial protocols for interventions involving artificial intelligence: SPIRIT-AI extension. BMJ. 2020.</w:t>
      </w:r>
    </w:p>
    <w:p>
      <w:r>
        <w:t>21. Vasey B, Nagendran M, Campbell B, et al. Reporting guideline for the early-stage clinical evaluation of decision support systems driven by artificial intelligence: DECIDE-AI. Nature Medicine. 2022.</w:t>
      </w:r>
    </w:p>
    <w:p>
      <w:r>
        <w:t>22. Bossuyt PM, Reitsma JB, Bruns DE, et al. STARD 2015: An updated list of essential items for reporting diagnostic accuracy studies. BMJ. 2015;351:h5527.</w:t>
      </w:r>
    </w:p>
    <w:p>
      <w:r>
        <w:t>23. Wolff RF, Moons KGM, Riley RD, et al. PROBAST: A tool to assess the risk of bias and applicability of prediction model studies. Annals of Internal Medicine. 2019;170:51-58.</w:t>
      </w:r>
    </w:p>
    <w:p>
      <w:r>
        <w:t>24. Nagendran M, Chen Y, Lovejoy CA, et al. Artificial intelligence versus clinicians: Systematic review of design, reporting standards, and claims. BMJ. 2020;368:m689.</w:t>
      </w:r>
    </w:p>
    <w:p>
      <w:r>
        <w:t>25. Davis J, Goadrich M. The relationship between precision-recall and ROC curves. ICML. 2006.</w:t>
      </w:r>
    </w:p>
    <w:p>
      <w:r>
        <w:t>26. Saito T, Rehmsmeier M. The precision-recall plot is more informative than the ROC plot when evaluating binary classifiers on imbalanced datasets. PLoS ONE. 2015;10:e0118432.</w:t>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