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Cross-dataset Generalizability, Calibration, and Explainability of DenseNet121 with ResNet50 and EfficientNet-B0 Comparison for Multi-label Chest Radiograph Diagnosis: Expanded NIH ChestX-ray14 to VinDr-CXR/VinBigData-derived External Validation</w:t>
      </w:r>
    </w:p>
    <w:p>
      <w:r>
        <w:t>Evidence source: real public Hugging Face NIH ChestX-ray14 parquet subset and real public VinDr-CXR/VinBigData-derived PNG subset. No synthetic metrics were used. Thresholds were derived only from NIH validation. Calibration models were fitted only on NIH calibration.</w:t>
      </w:r>
    </w:p>
    <w:p>
      <w:pPr>
        <w:pStyle w:val="Heading1"/>
      </w:pPr>
      <w:r>
        <w:t>Executive Summary</w:t>
      </w:r>
    </w:p>
    <w:p>
      <w:r>
        <w:t>The upgraded Route B experiment expanded the development data to 5000 NIH images from 3795 patients and expanded external validation to 1000 VinDr-derived images. DenseNet121 completed 5 epochs; the best checkpoint was selected at epoch 2 by validation macro AUPRC (0.277). Internal macro AUROC/AUPRC were 0.680/0.214; external macro AUROC/AUPRC were 0.743/0.434.</w:t>
      </w:r>
    </w:p>
    <w:p>
      <w:r>
        <w:t>Architecture comparators were trained under the same NIH split and validation-threshold rule. ResNet50 internal macro AUROC/AUPRC were 0.647/0.200, and external macro AUROC/AUPRC were 0.728/0.418; EfficientNet-B0 internal macro AUROC/AUPRC were 0.656/0.218, and external macro AUROC/AUPRC were 0.656/0.370. These comparator results are reported as model-comparison evidence rather than replacing the prespecified DenseNet121 main analysis.</w:t>
      </w:r>
    </w:p>
    <w:p>
      <w:pPr>
        <w:pStyle w:val="Heading1"/>
      </w:pPr>
      <w:r>
        <w:t>Data Expansion Plan and Execution</w:t>
      </w:r>
    </w:p>
    <w:p>
      <w:r>
        <w:t>NIH expansion was performed by downloading multiple public Hugging Face parquet shards, extracting image bytes to PNG files, harmonizing target labels, and creating patient-level train/validation/calibration/internal-test splits.</w:t>
      </w:r>
    </w:p>
    <w:p>
      <w:r>
        <w:t>VinDr expansion was performed from a public VinDr-CXR/VinBigData-derived PNG mirror. Images were selected from available cached public files with enrichment for externally mappable labels and No Finding. VinDr images remained fully independent from NIH training, validation, threshold selection, and calibration fitting.</w:t>
      </w:r>
    </w:p>
    <w:p>
      <w:r>
        <w:t>The large-run project structure uses metadata_large/, splits_large/, predictions_large/, tables_large/, figures_large/, models_large/, logs_large/, and outputs_large/ so that the original small public-subset experiment remains intact as supplementary evidence.</w:t>
      </w:r>
    </w:p>
    <w:p>
      <w:pPr>
        <w:pStyle w:val="Heading1"/>
      </w:pPr>
      <w:r>
        <w:t>Methods to Update Manuscript</w:t>
      </w:r>
    </w:p>
    <w:p>
      <w:pPr>
        <w:pStyle w:val="ListBullet"/>
      </w:pPr>
      <w:r>
        <w:t>Title: describe the study as an expanded public-subset NIH to VinDr-CXR/VinBigData-derived external validation, not as a full official-cohort validation.</w:t>
      </w:r>
    </w:p>
    <w:p>
      <w:pPr>
        <w:pStyle w:val="ListBullet"/>
      </w:pPr>
      <w:r>
        <w:t>Abstract: replace small-subset values with large-run sample sizes, macro AUROC/AUPRC, calibration metrics, and Grad-CAM++ case count.</w:t>
      </w:r>
    </w:p>
    <w:p>
      <w:pPr>
        <w:pStyle w:val="ListBullet"/>
      </w:pPr>
      <w:r>
        <w:t>Methods: add Hugging Face parquet/PNG extraction details, patient-level splitting, validation-only thresholds, NIH-only calibration fitting, and external independence rules.</w:t>
      </w:r>
    </w:p>
    <w:p>
      <w:pPr>
        <w:pStyle w:val="ListBullet"/>
      </w:pPr>
      <w:r>
        <w:t>Results: use Table 1-5 and Figure 1-5 from tables_large/ and figures_large/ only.</w:t>
      </w:r>
    </w:p>
    <w:p>
      <w:pPr>
        <w:pStyle w:val="ListBullet"/>
      </w:pPr>
      <w:r>
        <w:t>Discussion: emphasize dataset shift, label-source heterogeneity, class imbalance, and calibration transfer limits.</w:t>
      </w:r>
    </w:p>
    <w:p>
      <w:pPr>
        <w:pStyle w:val="ListBullet"/>
      </w:pPr>
      <w:r>
        <w:t>Limitations: explicitly state that Edema and Pneumonia are unavailable as external labels in the VinDr-derived subset and should not support external primary claims.</w:t>
      </w:r>
    </w:p>
    <w:p>
      <w:pPr>
        <w:pStyle w:val="ListBullet"/>
      </w:pPr>
      <w:r>
        <w:t>Conclusion: keep claims limited to public-dataset validation and reproducible pipeline evidence; do not claim clinical readiness.</w:t>
      </w:r>
    </w:p>
    <w:p>
      <w:pPr>
        <w:pStyle w:val="Heading1"/>
      </w:pPr>
      <w:r>
        <w:t>Results</w:t>
      </w:r>
    </w:p>
    <w:p>
      <w:r>
        <w:t>Internal macro AUROC was 0.680 and macro AUPRC was 0.214. External macro AUROC was 0.743 and macro AUPRC was 0.434. The macro AUROC internal-minus-external difference was -0.062, indicating no observed AUROC degradation in this selected public external subset.</w:t>
      </w:r>
    </w:p>
    <w:p>
      <w:r>
        <w:t>Internal uncalibrated macro Brier score was 0.193, ECE was 0.269, and MCE was 0.539. Temperature scaling produced internal macro ECE 0.280 and external macro ECE 0.214. ECE improvement should be interpreted together with slope and intercept because Platt or isotonic methods can reduce bin-wise error while creating unstable probability-scale slopes in sparse or imbalanced labels.</w:t>
      </w:r>
    </w:p>
    <w:p>
      <w:r>
        <w:t>Grad-CAM++ generated 60 TP/FP/FN/TN examples across NIH internal and external validation for failure-mode review. These maps are not used as proof of clinical reasoning.</w:t>
      </w:r>
    </w:p>
    <w:p>
      <w:pPr>
        <w:pStyle w:val="Heading2"/>
      </w:pPr>
      <w:r>
        <w:t>Table 1. Dataset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6"/>
              </w:rPr>
              <w:t>split</w:t>
            </w:r>
          </w:p>
        </w:tc>
        <w:tc>
          <w:tcPr>
            <w:tcW w:type="dxa" w:w="3360"/>
            <w:vAlign w:val="center"/>
            <w:shd w:fill="D9EAF7"/>
          </w:tcPr>
          <w:p>
            <w:r>
              <w:rPr>
                <w:b/>
                <w:sz w:val="16"/>
              </w:rPr>
              <w:t>n_patients</w:t>
            </w:r>
          </w:p>
        </w:tc>
        <w:tc>
          <w:tcPr>
            <w:tcW w:type="dxa" w:w="3360"/>
            <w:vAlign w:val="center"/>
            <w:shd w:fill="D9EAF7"/>
          </w:tcPr>
          <w:p>
            <w:r>
              <w:rPr>
                <w:b/>
                <w:sz w:val="16"/>
              </w:rPr>
              <w:t>n_images</w:t>
            </w:r>
          </w:p>
        </w:tc>
      </w:tr>
      <w:tr>
        <w:tc>
          <w:tcPr>
            <w:tcW w:type="dxa" w:w="3360"/>
            <w:vAlign w:val="center"/>
          </w:tcPr>
          <w:p>
            <w:r>
              <w:rPr>
                <w:sz w:val="16"/>
              </w:rPr>
              <w:t>calibration</w:t>
            </w:r>
          </w:p>
        </w:tc>
        <w:tc>
          <w:tcPr>
            <w:tcW w:type="dxa" w:w="3360"/>
            <w:vAlign w:val="center"/>
          </w:tcPr>
          <w:p>
            <w:r>
              <w:rPr>
                <w:sz w:val="16"/>
              </w:rPr>
              <w:t>379</w:t>
            </w:r>
          </w:p>
        </w:tc>
        <w:tc>
          <w:tcPr>
            <w:tcW w:type="dxa" w:w="3360"/>
            <w:vAlign w:val="center"/>
          </w:tcPr>
          <w:p>
            <w:r>
              <w:rPr>
                <w:sz w:val="16"/>
              </w:rPr>
              <w:t>751</w:t>
            </w:r>
          </w:p>
        </w:tc>
      </w:tr>
      <w:tr>
        <w:tc>
          <w:tcPr>
            <w:tcW w:type="dxa" w:w="3360"/>
            <w:vAlign w:val="center"/>
          </w:tcPr>
          <w:p>
            <w:r>
              <w:rPr>
                <w:sz w:val="16"/>
              </w:rPr>
              <w:t>internal_test</w:t>
            </w:r>
          </w:p>
        </w:tc>
        <w:tc>
          <w:tcPr>
            <w:tcW w:type="dxa" w:w="3360"/>
            <w:vAlign w:val="center"/>
          </w:tcPr>
          <w:p>
            <w:r>
              <w:rPr>
                <w:sz w:val="16"/>
              </w:rPr>
              <w:t>379</w:t>
            </w:r>
          </w:p>
        </w:tc>
        <w:tc>
          <w:tcPr>
            <w:tcW w:type="dxa" w:w="3360"/>
            <w:vAlign w:val="center"/>
          </w:tcPr>
          <w:p>
            <w:r>
              <w:rPr>
                <w:sz w:val="16"/>
              </w:rPr>
              <w:t>739</w:t>
            </w:r>
          </w:p>
        </w:tc>
      </w:tr>
      <w:tr>
        <w:tc>
          <w:tcPr>
            <w:tcW w:type="dxa" w:w="3360"/>
            <w:vAlign w:val="center"/>
          </w:tcPr>
          <w:p>
            <w:r>
              <w:rPr>
                <w:sz w:val="16"/>
              </w:rPr>
              <w:t>train</w:t>
            </w:r>
          </w:p>
        </w:tc>
        <w:tc>
          <w:tcPr>
            <w:tcW w:type="dxa" w:w="3360"/>
            <w:vAlign w:val="center"/>
          </w:tcPr>
          <w:p>
            <w:r>
              <w:rPr>
                <w:sz w:val="16"/>
              </w:rPr>
              <w:t>2657</w:t>
            </w:r>
          </w:p>
        </w:tc>
        <w:tc>
          <w:tcPr>
            <w:tcW w:type="dxa" w:w="3360"/>
            <w:vAlign w:val="center"/>
          </w:tcPr>
          <w:p>
            <w:r>
              <w:rPr>
                <w:sz w:val="16"/>
              </w:rPr>
              <w:t>2679</w:t>
            </w:r>
          </w:p>
        </w:tc>
      </w:tr>
      <w:tr>
        <w:tc>
          <w:tcPr>
            <w:tcW w:type="dxa" w:w="3360"/>
            <w:vAlign w:val="center"/>
          </w:tcPr>
          <w:p>
            <w:r>
              <w:rPr>
                <w:sz w:val="16"/>
              </w:rPr>
              <w:t>validation</w:t>
            </w:r>
          </w:p>
        </w:tc>
        <w:tc>
          <w:tcPr>
            <w:tcW w:type="dxa" w:w="3360"/>
            <w:vAlign w:val="center"/>
          </w:tcPr>
          <w:p>
            <w:r>
              <w:rPr>
                <w:sz w:val="16"/>
              </w:rPr>
              <w:t>380</w:t>
            </w:r>
          </w:p>
        </w:tc>
        <w:tc>
          <w:tcPr>
            <w:tcW w:type="dxa" w:w="3360"/>
            <w:vAlign w:val="center"/>
          </w:tcPr>
          <w:p>
            <w:r>
              <w:rPr>
                <w:sz w:val="16"/>
              </w:rPr>
              <w:t>831</w:t>
            </w:r>
          </w:p>
        </w:tc>
      </w:tr>
      <w:tr>
        <w:tc>
          <w:tcPr>
            <w:tcW w:type="dxa" w:w="3360"/>
            <w:vAlign w:val="center"/>
          </w:tcPr>
          <w:p>
            <w:r>
              <w:rPr>
                <w:sz w:val="16"/>
              </w:rPr>
              <w:t>VinDr-derived external</w:t>
            </w:r>
          </w:p>
        </w:tc>
        <w:tc>
          <w:tcPr>
            <w:tcW w:type="dxa" w:w="3360"/>
            <w:vAlign w:val="center"/>
          </w:tcPr>
          <w:p>
            <w:r>
              <w:rPr>
                <w:sz w:val="16"/>
              </w:rPr>
              <w:t>1000</w:t>
            </w:r>
          </w:p>
        </w:tc>
        <w:tc>
          <w:tcPr>
            <w:tcW w:type="dxa" w:w="3360"/>
            <w:vAlign w:val="center"/>
          </w:tcPr>
          <w:p>
            <w:r>
              <w:rPr>
                <w:sz w:val="16"/>
              </w:rPr>
              <w:t>1000</w:t>
            </w:r>
          </w:p>
        </w:tc>
      </w:tr>
    </w:tbl>
    <w:p>
      <w:pPr>
        <w:pStyle w:val="Heading2"/>
      </w:pPr>
      <w:r>
        <w:t>Table 2. Label Harmonization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6"/>
              </w:rPr>
              <w:t>harmonized_label</w:t>
            </w:r>
          </w:p>
        </w:tc>
        <w:tc>
          <w:tcPr>
            <w:tcW w:type="dxa" w:w="2520"/>
            <w:vAlign w:val="center"/>
            <w:shd w:fill="D9EAF7"/>
          </w:tcPr>
          <w:p>
            <w:r>
              <w:rPr>
                <w:b/>
                <w:sz w:val="16"/>
              </w:rPr>
              <w:t>nih_terms</w:t>
            </w:r>
          </w:p>
        </w:tc>
        <w:tc>
          <w:tcPr>
            <w:tcW w:type="dxa" w:w="2520"/>
            <w:vAlign w:val="center"/>
            <w:shd w:fill="D9EAF7"/>
          </w:tcPr>
          <w:p>
            <w:r>
              <w:rPr>
                <w:b/>
                <w:sz w:val="16"/>
              </w:rPr>
              <w:t>vindr_terms</w:t>
            </w:r>
          </w:p>
        </w:tc>
        <w:tc>
          <w:tcPr>
            <w:tcW w:type="dxa" w:w="2520"/>
            <w:vAlign w:val="center"/>
            <w:shd w:fill="D9EAF7"/>
          </w:tcPr>
          <w:p>
            <w:r>
              <w:rPr>
                <w:b/>
                <w:sz w:val="16"/>
              </w:rPr>
              <w:t>role</w:t>
            </w:r>
          </w:p>
        </w:tc>
      </w:tr>
      <w:tr>
        <w:tc>
          <w:tcPr>
            <w:tcW w:type="dxa" w:w="2520"/>
            <w:vAlign w:val="center"/>
          </w:tcPr>
          <w:p>
            <w:r>
              <w:rPr>
                <w:sz w:val="16"/>
              </w:rPr>
              <w:t>Atelectasis</w:t>
            </w:r>
          </w:p>
        </w:tc>
        <w:tc>
          <w:tcPr>
            <w:tcW w:type="dxa" w:w="2520"/>
            <w:vAlign w:val="center"/>
          </w:tcPr>
          <w:p>
            <w:r>
              <w:rPr>
                <w:sz w:val="16"/>
              </w:rPr>
              <w:t>Atelectasis</w:t>
            </w:r>
          </w:p>
        </w:tc>
        <w:tc>
          <w:tcPr>
            <w:tcW w:type="dxa" w:w="2520"/>
            <w:vAlign w:val="center"/>
          </w:tcPr>
          <w:p>
            <w:r>
              <w:rPr>
                <w:sz w:val="16"/>
              </w:rPr>
              <w:t>Atelectasis</w:t>
            </w:r>
          </w:p>
        </w:tc>
        <w:tc>
          <w:tcPr>
            <w:tcW w:type="dxa" w:w="2520"/>
            <w:vAlign w:val="center"/>
          </w:tcPr>
          <w:p>
            <w:r>
              <w:rPr>
                <w:sz w:val="16"/>
              </w:rPr>
              <w:t>primary</w:t>
            </w:r>
          </w:p>
        </w:tc>
      </w:tr>
      <w:tr>
        <w:tc>
          <w:tcPr>
            <w:tcW w:type="dxa" w:w="2520"/>
            <w:vAlign w:val="center"/>
          </w:tcPr>
          <w:p>
            <w:r>
              <w:rPr>
                <w:sz w:val="16"/>
              </w:rPr>
              <w:t>Cardiomegaly</w:t>
            </w:r>
          </w:p>
        </w:tc>
        <w:tc>
          <w:tcPr>
            <w:tcW w:type="dxa" w:w="2520"/>
            <w:vAlign w:val="center"/>
          </w:tcPr>
          <w:p>
            <w:r>
              <w:rPr>
                <w:sz w:val="16"/>
              </w:rPr>
              <w:t>Cardiomegaly</w:t>
            </w:r>
          </w:p>
        </w:tc>
        <w:tc>
          <w:tcPr>
            <w:tcW w:type="dxa" w:w="2520"/>
            <w:vAlign w:val="center"/>
          </w:tcPr>
          <w:p>
            <w:r>
              <w:rPr>
                <w:sz w:val="16"/>
              </w:rPr>
              <w:t>Cardiomegaly</w:t>
            </w:r>
          </w:p>
        </w:tc>
        <w:tc>
          <w:tcPr>
            <w:tcW w:type="dxa" w:w="2520"/>
            <w:vAlign w:val="center"/>
          </w:tcPr>
          <w:p>
            <w:r>
              <w:rPr>
                <w:sz w:val="16"/>
              </w:rPr>
              <w:t>primary</w:t>
            </w:r>
          </w:p>
        </w:tc>
      </w:tr>
      <w:tr>
        <w:tc>
          <w:tcPr>
            <w:tcW w:type="dxa" w:w="2520"/>
            <w:vAlign w:val="center"/>
          </w:tcPr>
          <w:p>
            <w:r>
              <w:rPr>
                <w:sz w:val="16"/>
              </w:rPr>
              <w:t>Pleural Effusion</w:t>
            </w:r>
          </w:p>
        </w:tc>
        <w:tc>
          <w:tcPr>
            <w:tcW w:type="dxa" w:w="2520"/>
            <w:vAlign w:val="center"/>
          </w:tcPr>
          <w:p>
            <w:r>
              <w:rPr>
                <w:sz w:val="16"/>
              </w:rPr>
              <w:t>Effusion; Pleural Effusion</w:t>
            </w:r>
          </w:p>
        </w:tc>
        <w:tc>
          <w:tcPr>
            <w:tcW w:type="dxa" w:w="2520"/>
            <w:vAlign w:val="center"/>
          </w:tcPr>
          <w:p>
            <w:r>
              <w:rPr>
                <w:sz w:val="16"/>
              </w:rPr>
              <w:t>Pleural effusion; Pleural Effusion; Effusion</w:t>
            </w:r>
          </w:p>
        </w:tc>
        <w:tc>
          <w:tcPr>
            <w:tcW w:type="dxa" w:w="2520"/>
            <w:vAlign w:val="center"/>
          </w:tcPr>
          <w:p>
            <w:r>
              <w:rPr>
                <w:sz w:val="16"/>
              </w:rPr>
              <w:t>primary</w:t>
            </w:r>
          </w:p>
        </w:tc>
      </w:tr>
      <w:tr>
        <w:tc>
          <w:tcPr>
            <w:tcW w:type="dxa" w:w="2520"/>
            <w:vAlign w:val="center"/>
          </w:tcPr>
          <w:p>
            <w:r>
              <w:rPr>
                <w:sz w:val="16"/>
              </w:rPr>
              <w:t>Pneumothorax</w:t>
            </w:r>
          </w:p>
        </w:tc>
        <w:tc>
          <w:tcPr>
            <w:tcW w:type="dxa" w:w="2520"/>
            <w:vAlign w:val="center"/>
          </w:tcPr>
          <w:p>
            <w:r>
              <w:rPr>
                <w:sz w:val="16"/>
              </w:rPr>
              <w:t>Pneumothorax</w:t>
            </w:r>
          </w:p>
        </w:tc>
        <w:tc>
          <w:tcPr>
            <w:tcW w:type="dxa" w:w="2520"/>
            <w:vAlign w:val="center"/>
          </w:tcPr>
          <w:p>
            <w:r>
              <w:rPr>
                <w:sz w:val="16"/>
              </w:rPr>
              <w:t>Pneumothorax</w:t>
            </w:r>
          </w:p>
        </w:tc>
        <w:tc>
          <w:tcPr>
            <w:tcW w:type="dxa" w:w="2520"/>
            <w:vAlign w:val="center"/>
          </w:tcPr>
          <w:p>
            <w:r>
              <w:rPr>
                <w:sz w:val="16"/>
              </w:rPr>
              <w:t>primary</w:t>
            </w:r>
          </w:p>
        </w:tc>
      </w:tr>
      <w:tr>
        <w:tc>
          <w:tcPr>
            <w:tcW w:type="dxa" w:w="2520"/>
            <w:vAlign w:val="center"/>
          </w:tcPr>
          <w:p>
            <w:r>
              <w:rPr>
                <w:sz w:val="16"/>
              </w:rPr>
              <w:t>Consolidation</w:t>
            </w:r>
          </w:p>
        </w:tc>
        <w:tc>
          <w:tcPr>
            <w:tcW w:type="dxa" w:w="2520"/>
            <w:vAlign w:val="center"/>
          </w:tcPr>
          <w:p>
            <w:r>
              <w:rPr>
                <w:sz w:val="16"/>
              </w:rPr>
              <w:t>Consolidation</w:t>
            </w:r>
          </w:p>
        </w:tc>
        <w:tc>
          <w:tcPr>
            <w:tcW w:type="dxa" w:w="2520"/>
            <w:vAlign w:val="center"/>
          </w:tcPr>
          <w:p>
            <w:r>
              <w:rPr>
                <w:sz w:val="16"/>
              </w:rPr>
              <w:t>Consolidation</w:t>
            </w:r>
          </w:p>
        </w:tc>
        <w:tc>
          <w:tcPr>
            <w:tcW w:type="dxa" w:w="2520"/>
            <w:vAlign w:val="center"/>
          </w:tcPr>
          <w:p>
            <w:r>
              <w:rPr>
                <w:sz w:val="16"/>
              </w:rPr>
              <w:t>primary</w:t>
            </w:r>
          </w:p>
        </w:tc>
      </w:tr>
      <w:tr>
        <w:tc>
          <w:tcPr>
            <w:tcW w:type="dxa" w:w="2520"/>
            <w:vAlign w:val="center"/>
          </w:tcPr>
          <w:p>
            <w:r>
              <w:rPr>
                <w:sz w:val="16"/>
              </w:rPr>
              <w:t>Edema</w:t>
            </w:r>
          </w:p>
        </w:tc>
        <w:tc>
          <w:tcPr>
            <w:tcW w:type="dxa" w:w="2520"/>
            <w:vAlign w:val="center"/>
          </w:tcPr>
          <w:p>
            <w:r>
              <w:rPr>
                <w:sz w:val="16"/>
              </w:rPr>
              <w:t>Edema</w:t>
            </w:r>
          </w:p>
        </w:tc>
        <w:tc>
          <w:tcPr>
            <w:tcW w:type="dxa" w:w="2520"/>
            <w:vAlign w:val="center"/>
          </w:tcPr>
          <w:p>
            <w:r>
              <w:rPr>
                <w:sz w:val="16"/>
              </w:rPr>
              <w:t>Pulmonary edema; Edema</w:t>
            </w:r>
          </w:p>
        </w:tc>
        <w:tc>
          <w:tcPr>
            <w:tcW w:type="dxa" w:w="2520"/>
            <w:vAlign w:val="center"/>
          </w:tcPr>
          <w:p>
            <w:r>
              <w:rPr>
                <w:sz w:val="16"/>
              </w:rPr>
              <w:t>conditional_primary</w:t>
            </w:r>
          </w:p>
        </w:tc>
      </w:tr>
      <w:tr>
        <w:tc>
          <w:tcPr>
            <w:tcW w:type="dxa" w:w="2520"/>
            <w:vAlign w:val="center"/>
          </w:tcPr>
          <w:p>
            <w:r>
              <w:rPr>
                <w:sz w:val="16"/>
              </w:rPr>
              <w:t>Pneumonia</w:t>
            </w:r>
          </w:p>
        </w:tc>
        <w:tc>
          <w:tcPr>
            <w:tcW w:type="dxa" w:w="2520"/>
            <w:vAlign w:val="center"/>
          </w:tcPr>
          <w:p>
            <w:r>
              <w:rPr>
                <w:sz w:val="16"/>
              </w:rPr>
              <w:t>Pneumonia</w:t>
            </w:r>
          </w:p>
        </w:tc>
        <w:tc>
          <w:tcPr>
            <w:tcW w:type="dxa" w:w="2520"/>
            <w:vAlign w:val="center"/>
          </w:tcPr>
          <w:p>
            <w:r>
              <w:rPr>
                <w:sz w:val="16"/>
              </w:rPr>
              <w:t>Pneumonia</w:t>
            </w:r>
          </w:p>
        </w:tc>
        <w:tc>
          <w:tcPr>
            <w:tcW w:type="dxa" w:w="2520"/>
            <w:vAlign w:val="center"/>
          </w:tcPr>
          <w:p>
            <w:r>
              <w:rPr>
                <w:sz w:val="16"/>
              </w:rPr>
              <w:t>sensitivity</w:t>
            </w:r>
          </w:p>
        </w:tc>
      </w:tr>
      <w:tr>
        <w:tc>
          <w:tcPr>
            <w:tcW w:type="dxa" w:w="2520"/>
            <w:vAlign w:val="center"/>
          </w:tcPr>
          <w:p>
            <w:r>
              <w:rPr>
                <w:sz w:val="16"/>
              </w:rPr>
              <w:t>No Finding</w:t>
            </w:r>
          </w:p>
        </w:tc>
        <w:tc>
          <w:tcPr>
            <w:tcW w:type="dxa" w:w="2520"/>
            <w:vAlign w:val="center"/>
          </w:tcPr>
          <w:p>
            <w:r>
              <w:rPr>
                <w:sz w:val="16"/>
              </w:rPr>
              <w:t>No Finding; No finding</w:t>
            </w:r>
          </w:p>
        </w:tc>
        <w:tc>
          <w:tcPr>
            <w:tcW w:type="dxa" w:w="2520"/>
            <w:vAlign w:val="center"/>
          </w:tcPr>
          <w:p>
            <w:r>
              <w:rPr>
                <w:sz w:val="16"/>
              </w:rPr>
              <w:t>No finding; No Finding; No abnormality</w:t>
            </w:r>
          </w:p>
        </w:tc>
        <w:tc>
          <w:tcPr>
            <w:tcW w:type="dxa" w:w="2520"/>
            <w:vAlign w:val="center"/>
          </w:tcPr>
          <w:p>
            <w:r>
              <w:rPr>
                <w:sz w:val="16"/>
              </w:rPr>
              <w:t>sensitivity</w:t>
            </w:r>
          </w:p>
        </w:tc>
      </w:tr>
    </w:tbl>
    <w:p>
      <w:pPr>
        <w:pStyle w:val="Heading2"/>
      </w:pPr>
      <w:r>
        <w:t>Table 3. Internal and External Performance by Label and Model with Prevalence and 95% CI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model</w:t>
            </w:r>
          </w:p>
        </w:tc>
        <w:tc>
          <w:tcPr>
            <w:tcW w:type="dxa" w:w="1440"/>
            <w:vAlign w:val="center"/>
            <w:shd w:fill="D9EAF7"/>
          </w:tcPr>
          <w:p>
            <w:r>
              <w:rPr>
                <w:b/>
                <w:sz w:val="16"/>
              </w:rPr>
              <w:t>dataset</w:t>
            </w:r>
          </w:p>
        </w:tc>
        <w:tc>
          <w:tcPr>
            <w:tcW w:type="dxa" w:w="1440"/>
            <w:vAlign w:val="center"/>
            <w:shd w:fill="D9EAF7"/>
          </w:tcPr>
          <w:p>
            <w:r>
              <w:rPr>
                <w:b/>
                <w:sz w:val="16"/>
              </w:rPr>
              <w:t>label</w:t>
            </w:r>
          </w:p>
        </w:tc>
        <w:tc>
          <w:tcPr>
            <w:tcW w:type="dxa" w:w="1440"/>
            <w:vAlign w:val="center"/>
            <w:shd w:fill="D9EAF7"/>
          </w:tcPr>
          <w:p>
            <w:r>
              <w:rPr>
                <w:b/>
                <w:sz w:val="16"/>
              </w:rPr>
              <w:t>prevalence</w:t>
            </w:r>
          </w:p>
        </w:tc>
        <w:tc>
          <w:tcPr>
            <w:tcW w:type="dxa" w:w="1440"/>
            <w:vAlign w:val="center"/>
            <w:shd w:fill="D9EAF7"/>
          </w:tcPr>
          <w:p>
            <w:r>
              <w:rPr>
                <w:b/>
                <w:sz w:val="16"/>
              </w:rPr>
              <w:t>AUROC (95% CI)</w:t>
            </w:r>
          </w:p>
        </w:tc>
        <w:tc>
          <w:tcPr>
            <w:tcW w:type="dxa" w:w="1440"/>
            <w:vAlign w:val="center"/>
            <w:shd w:fill="D9EAF7"/>
          </w:tcPr>
          <w:p>
            <w:r>
              <w:rPr>
                <w:b/>
                <w:sz w:val="16"/>
              </w:rPr>
              <w:t>AUPRC (95% CI)</w:t>
            </w:r>
          </w:p>
        </w:tc>
        <w:tc>
          <w:tcPr>
            <w:tcW w:type="dxa" w:w="1440"/>
            <w:vAlign w:val="center"/>
            <w:shd w:fill="D9EAF7"/>
          </w:tcPr>
          <w:p>
            <w:r>
              <w:rPr>
                <w:b/>
                <w:sz w:val="16"/>
              </w:rPr>
              <w:t>F1</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0.679 (0.616-0.743)</w:t>
            </w:r>
          </w:p>
        </w:tc>
        <w:tc>
          <w:tcPr>
            <w:tcW w:type="dxa" w:w="1440"/>
            <w:vAlign w:val="center"/>
          </w:tcPr>
          <w:p>
            <w:r>
              <w:rPr>
                <w:sz w:val="16"/>
              </w:rPr>
              <w:t>0.222 (0.169-0.306)</w:t>
            </w:r>
          </w:p>
        </w:tc>
        <w:tc>
          <w:tcPr>
            <w:tcW w:type="dxa" w:w="1440"/>
            <w:vAlign w:val="center"/>
          </w:tcPr>
          <w:p>
            <w:r>
              <w:rPr>
                <w:sz w:val="16"/>
              </w:rPr>
              <w:t>0.246</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0.675 (0.560-0.771)</w:t>
            </w:r>
          </w:p>
        </w:tc>
        <w:tc>
          <w:tcPr>
            <w:tcW w:type="dxa" w:w="1440"/>
            <w:vAlign w:val="center"/>
          </w:tcPr>
          <w:p>
            <w:r>
              <w:rPr>
                <w:sz w:val="16"/>
              </w:rPr>
              <w:t>0.119 (0.043-0.240)</w:t>
            </w:r>
          </w:p>
        </w:tc>
        <w:tc>
          <w:tcPr>
            <w:tcW w:type="dxa" w:w="1440"/>
            <w:vAlign w:val="center"/>
          </w:tcPr>
          <w:p>
            <w:r>
              <w:rPr>
                <w:sz w:val="16"/>
              </w:rPr>
              <w:t>0.182</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0.709 (0.650-0.763)</w:t>
            </w:r>
          </w:p>
        </w:tc>
        <w:tc>
          <w:tcPr>
            <w:tcW w:type="dxa" w:w="1440"/>
            <w:vAlign w:val="center"/>
          </w:tcPr>
          <w:p>
            <w:r>
              <w:rPr>
                <w:sz w:val="16"/>
              </w:rPr>
              <w:t>0.335 (0.258-0.431)</w:t>
            </w:r>
          </w:p>
        </w:tc>
        <w:tc>
          <w:tcPr>
            <w:tcW w:type="dxa" w:w="1440"/>
            <w:vAlign w:val="center"/>
          </w:tcPr>
          <w:p>
            <w:r>
              <w:rPr>
                <w:sz w:val="16"/>
              </w:rPr>
              <w:t>0.342</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0.646 (0.535-0.754)</w:t>
            </w:r>
          </w:p>
        </w:tc>
        <w:tc>
          <w:tcPr>
            <w:tcW w:type="dxa" w:w="1440"/>
            <w:vAlign w:val="center"/>
          </w:tcPr>
          <w:p>
            <w:r>
              <w:rPr>
                <w:sz w:val="16"/>
              </w:rPr>
              <w:t>0.198 (0.085-0.366)</w:t>
            </w:r>
          </w:p>
        </w:tc>
        <w:tc>
          <w:tcPr>
            <w:tcW w:type="dxa" w:w="1440"/>
            <w:vAlign w:val="center"/>
          </w:tcPr>
          <w:p>
            <w:r>
              <w:rPr>
                <w:sz w:val="16"/>
              </w:rPr>
              <w:t>0.203</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0.618 (0.532-0.695)</w:t>
            </w:r>
          </w:p>
        </w:tc>
        <w:tc>
          <w:tcPr>
            <w:tcW w:type="dxa" w:w="1440"/>
            <w:vAlign w:val="center"/>
          </w:tcPr>
          <w:p>
            <w:r>
              <w:rPr>
                <w:sz w:val="16"/>
              </w:rPr>
              <w:t>0.076 (0.053-0.127)</w:t>
            </w:r>
          </w:p>
        </w:tc>
        <w:tc>
          <w:tcPr>
            <w:tcW w:type="dxa" w:w="1440"/>
            <w:vAlign w:val="center"/>
          </w:tcPr>
          <w:p>
            <w:r>
              <w:rPr>
                <w:sz w:val="16"/>
              </w:rPr>
              <w:t>0.155</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0.794 (0.689-0.878)</w:t>
            </w:r>
          </w:p>
        </w:tc>
        <w:tc>
          <w:tcPr>
            <w:tcW w:type="dxa" w:w="1440"/>
            <w:vAlign w:val="center"/>
          </w:tcPr>
          <w:p>
            <w:r>
              <w:rPr>
                <w:sz w:val="16"/>
              </w:rPr>
              <w:t>0.059 (0.028-0.122)</w:t>
            </w:r>
          </w:p>
        </w:tc>
        <w:tc>
          <w:tcPr>
            <w:tcW w:type="dxa" w:w="1440"/>
            <w:vAlign w:val="center"/>
          </w:tcPr>
          <w:p>
            <w:r>
              <w:rPr>
                <w:sz w:val="16"/>
              </w:rPr>
              <w:t>0.144</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0.645 (0.522-0.751)</w:t>
            </w:r>
          </w:p>
        </w:tc>
        <w:tc>
          <w:tcPr>
            <w:tcW w:type="dxa" w:w="1440"/>
            <w:vAlign w:val="center"/>
          </w:tcPr>
          <w:p>
            <w:r>
              <w:rPr>
                <w:sz w:val="16"/>
              </w:rPr>
              <w:t>0.037 (0.020-0.080)</w:t>
            </w:r>
          </w:p>
        </w:tc>
        <w:tc>
          <w:tcPr>
            <w:tcW w:type="dxa" w:w="1440"/>
            <w:vAlign w:val="center"/>
          </w:tcPr>
          <w:p>
            <w:r>
              <w:rPr>
                <w:sz w:val="16"/>
              </w:rPr>
              <w:t>0.059</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0.676 (0.630-0.723)</w:t>
            </w:r>
          </w:p>
        </w:tc>
        <w:tc>
          <w:tcPr>
            <w:tcW w:type="dxa" w:w="1440"/>
            <w:vAlign w:val="center"/>
          </w:tcPr>
          <w:p>
            <w:r>
              <w:rPr>
                <w:sz w:val="16"/>
              </w:rPr>
              <w:t>0.662 (0.601-0.726)</w:t>
            </w:r>
          </w:p>
        </w:tc>
        <w:tc>
          <w:tcPr>
            <w:tcW w:type="dxa" w:w="1440"/>
            <w:vAlign w:val="center"/>
          </w:tcPr>
          <w:p>
            <w:r>
              <w:rPr>
                <w:sz w:val="16"/>
              </w:rPr>
              <w:t>0.671</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0.617 (0.577-0.658)</w:t>
            </w:r>
          </w:p>
        </w:tc>
        <w:tc>
          <w:tcPr>
            <w:tcW w:type="dxa" w:w="1440"/>
            <w:vAlign w:val="center"/>
          </w:tcPr>
          <w:p>
            <w:r>
              <w:rPr>
                <w:sz w:val="16"/>
              </w:rPr>
              <w:t>0.157 (0.132-0.194)</w:t>
            </w:r>
          </w:p>
        </w:tc>
        <w:tc>
          <w:tcPr>
            <w:tcW w:type="dxa" w:w="1440"/>
            <w:vAlign w:val="center"/>
          </w:tcPr>
          <w:p>
            <w:r>
              <w:rPr>
                <w:sz w:val="16"/>
              </w:rPr>
              <w:t>0.117</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0.780 (0.752-0.810)</w:t>
            </w:r>
          </w:p>
        </w:tc>
        <w:tc>
          <w:tcPr>
            <w:tcW w:type="dxa" w:w="1440"/>
            <w:vAlign w:val="center"/>
          </w:tcPr>
          <w:p>
            <w:r>
              <w:rPr>
                <w:sz w:val="16"/>
              </w:rPr>
              <w:t>0.565 (0.505-0.625)</w:t>
            </w:r>
          </w:p>
        </w:tc>
        <w:tc>
          <w:tcPr>
            <w:tcW w:type="dxa" w:w="1440"/>
            <w:vAlign w:val="center"/>
          </w:tcPr>
          <w:p>
            <w:r>
              <w:rPr>
                <w:sz w:val="16"/>
              </w:rPr>
              <w:t>0.353</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0.811 (0.779-0.838)</w:t>
            </w:r>
          </w:p>
        </w:tc>
        <w:tc>
          <w:tcPr>
            <w:tcW w:type="dxa" w:w="1440"/>
            <w:vAlign w:val="center"/>
          </w:tcPr>
          <w:p>
            <w:r>
              <w:rPr>
                <w:sz w:val="16"/>
              </w:rPr>
              <w:t>0.637 (0.580-0.692)</w:t>
            </w:r>
          </w:p>
        </w:tc>
        <w:tc>
          <w:tcPr>
            <w:tcW w:type="dxa" w:w="1440"/>
            <w:vAlign w:val="center"/>
          </w:tcPr>
          <w:p>
            <w:r>
              <w:rPr>
                <w:sz w:val="16"/>
              </w:rPr>
              <w:t>0.622</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0.657 (0.598-0.718)</w:t>
            </w:r>
          </w:p>
        </w:tc>
        <w:tc>
          <w:tcPr>
            <w:tcW w:type="dxa" w:w="1440"/>
            <w:vAlign w:val="center"/>
          </w:tcPr>
          <w:p>
            <w:r>
              <w:rPr>
                <w:sz w:val="16"/>
              </w:rPr>
              <w:t>0.092 (0.066-0.135)</w:t>
            </w:r>
          </w:p>
        </w:tc>
        <w:tc>
          <w:tcPr>
            <w:tcW w:type="dxa" w:w="1440"/>
            <w:vAlign w:val="center"/>
          </w:tcPr>
          <w:p>
            <w:r>
              <w:rPr>
                <w:sz w:val="16"/>
              </w:rPr>
              <w:t>0.147</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0.745 (0.710-0.778)</w:t>
            </w:r>
          </w:p>
        </w:tc>
        <w:tc>
          <w:tcPr>
            <w:tcW w:type="dxa" w:w="1440"/>
            <w:vAlign w:val="center"/>
          </w:tcPr>
          <w:p>
            <w:r>
              <w:rPr>
                <w:sz w:val="16"/>
              </w:rPr>
              <w:t>0.374 (0.321-0.450)</w:t>
            </w:r>
          </w:p>
        </w:tc>
        <w:tc>
          <w:tcPr>
            <w:tcW w:type="dxa" w:w="1440"/>
            <w:vAlign w:val="center"/>
          </w:tcPr>
          <w:p>
            <w:r>
              <w:rPr>
                <w:sz w:val="16"/>
              </w:rPr>
              <w:t>0.273</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0.846 (0.823-0.869)</w:t>
            </w:r>
          </w:p>
        </w:tc>
        <w:tc>
          <w:tcPr>
            <w:tcW w:type="dxa" w:w="1440"/>
            <w:vAlign w:val="center"/>
          </w:tcPr>
          <w:p>
            <w:r>
              <w:rPr>
                <w:sz w:val="16"/>
              </w:rPr>
              <w:t>0.782 (0.738-0.821)</w:t>
            </w:r>
          </w:p>
        </w:tc>
        <w:tc>
          <w:tcPr>
            <w:tcW w:type="dxa" w:w="1440"/>
            <w:vAlign w:val="center"/>
          </w:tcPr>
          <w:p>
            <w:r>
              <w:rPr>
                <w:sz w:val="16"/>
              </w:rPr>
              <w:t>0.634</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0.668 (0.601-0.735)</w:t>
            </w:r>
          </w:p>
        </w:tc>
        <w:tc>
          <w:tcPr>
            <w:tcW w:type="dxa" w:w="1440"/>
            <w:vAlign w:val="center"/>
          </w:tcPr>
          <w:p>
            <w:r>
              <w:rPr>
                <w:sz w:val="16"/>
              </w:rPr>
              <w:t>0.215 (0.161-0.306)</w:t>
            </w:r>
          </w:p>
        </w:tc>
        <w:tc>
          <w:tcPr>
            <w:tcW w:type="dxa" w:w="1440"/>
            <w:vAlign w:val="center"/>
          </w:tcPr>
          <w:p>
            <w:r>
              <w:rPr>
                <w:sz w:val="16"/>
              </w:rPr>
              <w:t>0.302</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0.609 (0.479-0.739)</w:t>
            </w:r>
          </w:p>
        </w:tc>
        <w:tc>
          <w:tcPr>
            <w:tcW w:type="dxa" w:w="1440"/>
            <w:vAlign w:val="center"/>
          </w:tcPr>
          <w:p>
            <w:r>
              <w:rPr>
                <w:sz w:val="16"/>
              </w:rPr>
              <w:t>0.097 (0.037-0.227)</w:t>
            </w:r>
          </w:p>
        </w:tc>
        <w:tc>
          <w:tcPr>
            <w:tcW w:type="dxa" w:w="1440"/>
            <w:vAlign w:val="center"/>
          </w:tcPr>
          <w:p>
            <w:r>
              <w:rPr>
                <w:sz w:val="16"/>
              </w:rPr>
              <w:t>0.106</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0.712 (0.659-0.765)</w:t>
            </w:r>
          </w:p>
        </w:tc>
        <w:tc>
          <w:tcPr>
            <w:tcW w:type="dxa" w:w="1440"/>
            <w:vAlign w:val="center"/>
          </w:tcPr>
          <w:p>
            <w:r>
              <w:rPr>
                <w:sz w:val="16"/>
              </w:rPr>
              <w:t>0.378 (0.290-0.468)</w:t>
            </w:r>
          </w:p>
        </w:tc>
        <w:tc>
          <w:tcPr>
            <w:tcW w:type="dxa" w:w="1440"/>
            <w:vAlign w:val="center"/>
          </w:tcPr>
          <w:p>
            <w:r>
              <w:rPr>
                <w:sz w:val="16"/>
              </w:rPr>
              <w:t>0.380</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0.659 (0.561-0.743)</w:t>
            </w:r>
          </w:p>
        </w:tc>
        <w:tc>
          <w:tcPr>
            <w:tcW w:type="dxa" w:w="1440"/>
            <w:vAlign w:val="center"/>
          </w:tcPr>
          <w:p>
            <w:r>
              <w:rPr>
                <w:sz w:val="16"/>
              </w:rPr>
              <w:t>0.097 (0.063-0.166)</w:t>
            </w:r>
          </w:p>
        </w:tc>
        <w:tc>
          <w:tcPr>
            <w:tcW w:type="dxa" w:w="1440"/>
            <w:vAlign w:val="center"/>
          </w:tcPr>
          <w:p>
            <w:r>
              <w:rPr>
                <w:sz w:val="16"/>
              </w:rPr>
              <w:t>0.162</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0.585 (0.501-0.667)</w:t>
            </w:r>
          </w:p>
        </w:tc>
        <w:tc>
          <w:tcPr>
            <w:tcW w:type="dxa" w:w="1440"/>
            <w:vAlign w:val="center"/>
          </w:tcPr>
          <w:p>
            <w:r>
              <w:rPr>
                <w:sz w:val="16"/>
              </w:rPr>
              <w:t>0.067 (0.049-0.102)</w:t>
            </w:r>
          </w:p>
        </w:tc>
        <w:tc>
          <w:tcPr>
            <w:tcW w:type="dxa" w:w="1440"/>
            <w:vAlign w:val="center"/>
          </w:tcPr>
          <w:p>
            <w:r>
              <w:rPr>
                <w:sz w:val="16"/>
              </w:rPr>
              <w:t>0.140</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0.714 (0.575-0.835)</w:t>
            </w:r>
          </w:p>
        </w:tc>
        <w:tc>
          <w:tcPr>
            <w:tcW w:type="dxa" w:w="1440"/>
            <w:vAlign w:val="center"/>
          </w:tcPr>
          <w:p>
            <w:r>
              <w:rPr>
                <w:sz w:val="16"/>
              </w:rPr>
              <w:t>0.052 (0.021-0.118)</w:t>
            </w:r>
          </w:p>
        </w:tc>
        <w:tc>
          <w:tcPr>
            <w:tcW w:type="dxa" w:w="1440"/>
            <w:vAlign w:val="center"/>
          </w:tcPr>
          <w:p>
            <w:r>
              <w:rPr>
                <w:sz w:val="16"/>
              </w:rPr>
              <w:t>0.109</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0.543 (0.437-0.650)</w:t>
            </w:r>
          </w:p>
        </w:tc>
        <w:tc>
          <w:tcPr>
            <w:tcW w:type="dxa" w:w="1440"/>
            <w:vAlign w:val="center"/>
          </w:tcPr>
          <w:p>
            <w:r>
              <w:rPr>
                <w:sz w:val="16"/>
              </w:rPr>
              <w:t>0.025 (0.015-0.044)</w:t>
            </w:r>
          </w:p>
        </w:tc>
        <w:tc>
          <w:tcPr>
            <w:tcW w:type="dxa" w:w="1440"/>
            <w:vAlign w:val="center"/>
          </w:tcPr>
          <w:p>
            <w:r>
              <w:rPr>
                <w:sz w:val="16"/>
              </w:rPr>
              <w:t>0.037</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0.684 (0.637-0.734)</w:t>
            </w:r>
          </w:p>
        </w:tc>
        <w:tc>
          <w:tcPr>
            <w:tcW w:type="dxa" w:w="1440"/>
            <w:vAlign w:val="center"/>
          </w:tcPr>
          <w:p>
            <w:r>
              <w:rPr>
                <w:sz w:val="16"/>
              </w:rPr>
              <w:t>0.672 (0.606-0.729)</w:t>
            </w:r>
          </w:p>
        </w:tc>
        <w:tc>
          <w:tcPr>
            <w:tcW w:type="dxa" w:w="1440"/>
            <w:vAlign w:val="center"/>
          </w:tcPr>
          <w:p>
            <w:r>
              <w:rPr>
                <w:sz w:val="16"/>
              </w:rPr>
              <w:t>0.662</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0.701 (0.662-0.741)</w:t>
            </w:r>
          </w:p>
        </w:tc>
        <w:tc>
          <w:tcPr>
            <w:tcW w:type="dxa" w:w="1440"/>
            <w:vAlign w:val="center"/>
          </w:tcPr>
          <w:p>
            <w:r>
              <w:rPr>
                <w:sz w:val="16"/>
              </w:rPr>
              <w:t>0.233 (0.184-0.289)</w:t>
            </w:r>
          </w:p>
        </w:tc>
        <w:tc>
          <w:tcPr>
            <w:tcW w:type="dxa" w:w="1440"/>
            <w:vAlign w:val="center"/>
          </w:tcPr>
          <w:p>
            <w:r>
              <w:rPr>
                <w:sz w:val="16"/>
              </w:rPr>
              <w:t>0.275</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0.621 (0.578-0.658)</w:t>
            </w:r>
          </w:p>
        </w:tc>
        <w:tc>
          <w:tcPr>
            <w:tcW w:type="dxa" w:w="1440"/>
            <w:vAlign w:val="center"/>
          </w:tcPr>
          <w:p>
            <w:r>
              <w:rPr>
                <w:sz w:val="16"/>
              </w:rPr>
              <w:t>0.401 (0.349-0.467)</w:t>
            </w:r>
          </w:p>
        </w:tc>
        <w:tc>
          <w:tcPr>
            <w:tcW w:type="dxa" w:w="1440"/>
            <w:vAlign w:val="center"/>
          </w:tcPr>
          <w:p>
            <w:r>
              <w:rPr>
                <w:sz w:val="16"/>
              </w:rPr>
              <w:t>0.391</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0.800 (0.768-0.834)</w:t>
            </w:r>
          </w:p>
        </w:tc>
        <w:tc>
          <w:tcPr>
            <w:tcW w:type="dxa" w:w="1440"/>
            <w:vAlign w:val="center"/>
          </w:tcPr>
          <w:p>
            <w:r>
              <w:rPr>
                <w:sz w:val="16"/>
              </w:rPr>
              <w:t>0.667 (0.608-0.724)</w:t>
            </w:r>
          </w:p>
        </w:tc>
        <w:tc>
          <w:tcPr>
            <w:tcW w:type="dxa" w:w="1440"/>
            <w:vAlign w:val="center"/>
          </w:tcPr>
          <w:p>
            <w:r>
              <w:rPr>
                <w:sz w:val="16"/>
              </w:rPr>
              <w:t>0.615</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0.663 (0.602-0.726)</w:t>
            </w:r>
          </w:p>
        </w:tc>
        <w:tc>
          <w:tcPr>
            <w:tcW w:type="dxa" w:w="1440"/>
            <w:vAlign w:val="center"/>
          </w:tcPr>
          <w:p>
            <w:r>
              <w:rPr>
                <w:sz w:val="16"/>
              </w:rPr>
              <w:t>0.088 (0.066-0.122)</w:t>
            </w:r>
          </w:p>
        </w:tc>
        <w:tc>
          <w:tcPr>
            <w:tcW w:type="dxa" w:w="1440"/>
            <w:vAlign w:val="center"/>
          </w:tcPr>
          <w:p>
            <w:r>
              <w:rPr>
                <w:sz w:val="16"/>
              </w:rPr>
              <w:t>0.131</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0.764 (0.730-0.799)</w:t>
            </w:r>
          </w:p>
        </w:tc>
        <w:tc>
          <w:tcPr>
            <w:tcW w:type="dxa" w:w="1440"/>
            <w:vAlign w:val="center"/>
          </w:tcPr>
          <w:p>
            <w:r>
              <w:rPr>
                <w:sz w:val="16"/>
              </w:rPr>
              <w:t>0.375 (0.317-0.450)</w:t>
            </w:r>
          </w:p>
        </w:tc>
        <w:tc>
          <w:tcPr>
            <w:tcW w:type="dxa" w:w="1440"/>
            <w:vAlign w:val="center"/>
          </w:tcPr>
          <w:p>
            <w:r>
              <w:rPr>
                <w:sz w:val="16"/>
              </w:rPr>
              <w:t>0.377</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0.819 (0.792-0.843)</w:t>
            </w:r>
          </w:p>
        </w:tc>
        <w:tc>
          <w:tcPr>
            <w:tcW w:type="dxa" w:w="1440"/>
            <w:vAlign w:val="center"/>
          </w:tcPr>
          <w:p>
            <w:r>
              <w:rPr>
                <w:sz w:val="16"/>
              </w:rPr>
              <w:t>0.747 (0.704-0.790)</w:t>
            </w:r>
          </w:p>
        </w:tc>
        <w:tc>
          <w:tcPr>
            <w:tcW w:type="dxa" w:w="1440"/>
            <w:vAlign w:val="center"/>
          </w:tcPr>
          <w:p>
            <w:r>
              <w:rPr>
                <w:sz w:val="16"/>
              </w:rPr>
              <w:t>0.709</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0.660 (0.600-0.722)</w:t>
            </w:r>
          </w:p>
        </w:tc>
        <w:tc>
          <w:tcPr>
            <w:tcW w:type="dxa" w:w="1440"/>
            <w:vAlign w:val="center"/>
          </w:tcPr>
          <w:p>
            <w:r>
              <w:rPr>
                <w:sz w:val="16"/>
              </w:rPr>
              <w:t>0.225 (0.165-0.314)</w:t>
            </w:r>
          </w:p>
        </w:tc>
        <w:tc>
          <w:tcPr>
            <w:tcW w:type="dxa" w:w="1440"/>
            <w:vAlign w:val="center"/>
          </w:tcPr>
          <w:p>
            <w:r>
              <w:rPr>
                <w:sz w:val="16"/>
              </w:rPr>
              <w:t>0.254</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0.655 (0.539-0.771)</w:t>
            </w:r>
          </w:p>
        </w:tc>
        <w:tc>
          <w:tcPr>
            <w:tcW w:type="dxa" w:w="1440"/>
            <w:vAlign w:val="center"/>
          </w:tcPr>
          <w:p>
            <w:r>
              <w:rPr>
                <w:sz w:val="16"/>
              </w:rPr>
              <w:t>0.087 (0.041-0.208)</w:t>
            </w:r>
          </w:p>
        </w:tc>
        <w:tc>
          <w:tcPr>
            <w:tcW w:type="dxa" w:w="1440"/>
            <w:vAlign w:val="center"/>
          </w:tcPr>
          <w:p>
            <w:r>
              <w:rPr>
                <w:sz w:val="16"/>
              </w:rPr>
              <w:t>0.108</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0.737 (0.681-0.780)</w:t>
            </w:r>
          </w:p>
        </w:tc>
        <w:tc>
          <w:tcPr>
            <w:tcW w:type="dxa" w:w="1440"/>
            <w:vAlign w:val="center"/>
          </w:tcPr>
          <w:p>
            <w:r>
              <w:rPr>
                <w:sz w:val="16"/>
              </w:rPr>
              <w:t>0.356 (0.268-0.460)</w:t>
            </w:r>
          </w:p>
        </w:tc>
        <w:tc>
          <w:tcPr>
            <w:tcW w:type="dxa" w:w="1440"/>
            <w:vAlign w:val="center"/>
          </w:tcPr>
          <w:p>
            <w:r>
              <w:rPr>
                <w:sz w:val="16"/>
              </w:rPr>
              <w:t>0.376</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0.692 (0.601-0.782)</w:t>
            </w:r>
          </w:p>
        </w:tc>
        <w:tc>
          <w:tcPr>
            <w:tcW w:type="dxa" w:w="1440"/>
            <w:vAlign w:val="center"/>
          </w:tcPr>
          <w:p>
            <w:r>
              <w:rPr>
                <w:sz w:val="16"/>
              </w:rPr>
              <w:t>0.190 (0.104-0.356)</w:t>
            </w:r>
          </w:p>
        </w:tc>
        <w:tc>
          <w:tcPr>
            <w:tcW w:type="dxa" w:w="1440"/>
            <w:vAlign w:val="center"/>
          </w:tcPr>
          <w:p>
            <w:r>
              <w:rPr>
                <w:sz w:val="16"/>
              </w:rPr>
              <w:t>0.187</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0.592 (0.512-0.674)</w:t>
            </w:r>
          </w:p>
        </w:tc>
        <w:tc>
          <w:tcPr>
            <w:tcW w:type="dxa" w:w="1440"/>
            <w:vAlign w:val="center"/>
          </w:tcPr>
          <w:p>
            <w:r>
              <w:rPr>
                <w:sz w:val="16"/>
              </w:rPr>
              <w:t>0.072 (0.050-0.111)</w:t>
            </w:r>
          </w:p>
        </w:tc>
        <w:tc>
          <w:tcPr>
            <w:tcW w:type="dxa" w:w="1440"/>
            <w:vAlign w:val="center"/>
          </w:tcPr>
          <w:p>
            <w:r>
              <w:rPr>
                <w:sz w:val="16"/>
              </w:rPr>
              <w:t>0.123</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0.740 (0.604-0.863)</w:t>
            </w:r>
          </w:p>
        </w:tc>
        <w:tc>
          <w:tcPr>
            <w:tcW w:type="dxa" w:w="1440"/>
            <w:vAlign w:val="center"/>
          </w:tcPr>
          <w:p>
            <w:r>
              <w:rPr>
                <w:sz w:val="16"/>
              </w:rPr>
              <w:t>0.085 (0.030-0.219)</w:t>
            </w:r>
          </w:p>
        </w:tc>
        <w:tc>
          <w:tcPr>
            <w:tcW w:type="dxa" w:w="1440"/>
            <w:vAlign w:val="center"/>
          </w:tcPr>
          <w:p>
            <w:r>
              <w:rPr>
                <w:sz w:val="16"/>
              </w:rPr>
              <w:t>0.118</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0.468 (0.313-0.637)</w:t>
            </w:r>
          </w:p>
        </w:tc>
        <w:tc>
          <w:tcPr>
            <w:tcW w:type="dxa" w:w="1440"/>
            <w:vAlign w:val="center"/>
          </w:tcPr>
          <w:p>
            <w:r>
              <w:rPr>
                <w:sz w:val="16"/>
              </w:rPr>
              <w:t>0.030 (0.015-0.066)</w:t>
            </w:r>
          </w:p>
        </w:tc>
        <w:tc>
          <w:tcPr>
            <w:tcW w:type="dxa" w:w="1440"/>
            <w:vAlign w:val="center"/>
          </w:tcPr>
          <w:p>
            <w:r>
              <w:rPr>
                <w:sz w:val="16"/>
              </w:rPr>
              <w:t>0.000</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0.706 (0.664-0.749)</w:t>
            </w:r>
          </w:p>
        </w:tc>
        <w:tc>
          <w:tcPr>
            <w:tcW w:type="dxa" w:w="1440"/>
            <w:vAlign w:val="center"/>
          </w:tcPr>
          <w:p>
            <w:r>
              <w:rPr>
                <w:sz w:val="16"/>
              </w:rPr>
              <w:t>0.696 (0.635-0.753)</w:t>
            </w:r>
          </w:p>
        </w:tc>
        <w:tc>
          <w:tcPr>
            <w:tcW w:type="dxa" w:w="1440"/>
            <w:vAlign w:val="center"/>
          </w:tcPr>
          <w:p>
            <w:r>
              <w:rPr>
                <w:sz w:val="16"/>
              </w:rPr>
              <w:t>0.694</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0.612 (0.566-0.657)</w:t>
            </w:r>
          </w:p>
        </w:tc>
        <w:tc>
          <w:tcPr>
            <w:tcW w:type="dxa" w:w="1440"/>
            <w:vAlign w:val="center"/>
          </w:tcPr>
          <w:p>
            <w:r>
              <w:rPr>
                <w:sz w:val="16"/>
              </w:rPr>
              <w:t>0.175 (0.145-0.220)</w:t>
            </w:r>
          </w:p>
        </w:tc>
        <w:tc>
          <w:tcPr>
            <w:tcW w:type="dxa" w:w="1440"/>
            <w:vAlign w:val="center"/>
          </w:tcPr>
          <w:p>
            <w:r>
              <w:rPr>
                <w:sz w:val="16"/>
              </w:rPr>
              <w:t>0.121</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0.585 (0.548-0.620)</w:t>
            </w:r>
          </w:p>
        </w:tc>
        <w:tc>
          <w:tcPr>
            <w:tcW w:type="dxa" w:w="1440"/>
            <w:vAlign w:val="center"/>
          </w:tcPr>
          <w:p>
            <w:r>
              <w:rPr>
                <w:sz w:val="16"/>
              </w:rPr>
              <w:t>0.353 (0.312-0.408)</w:t>
            </w:r>
          </w:p>
        </w:tc>
        <w:tc>
          <w:tcPr>
            <w:tcW w:type="dxa" w:w="1440"/>
            <w:vAlign w:val="center"/>
          </w:tcPr>
          <w:p>
            <w:r>
              <w:rPr>
                <w:sz w:val="16"/>
              </w:rPr>
              <w:t>0.102</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0.779 (0.745-0.808)</w:t>
            </w:r>
          </w:p>
        </w:tc>
        <w:tc>
          <w:tcPr>
            <w:tcW w:type="dxa" w:w="1440"/>
            <w:vAlign w:val="center"/>
          </w:tcPr>
          <w:p>
            <w:r>
              <w:rPr>
                <w:sz w:val="16"/>
              </w:rPr>
              <w:t>0.651 (0.597-0.703)</w:t>
            </w:r>
          </w:p>
        </w:tc>
        <w:tc>
          <w:tcPr>
            <w:tcW w:type="dxa" w:w="1440"/>
            <w:vAlign w:val="center"/>
          </w:tcPr>
          <w:p>
            <w:r>
              <w:rPr>
                <w:sz w:val="16"/>
              </w:rPr>
              <w:t>0.589</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0.603 (0.533-0.663)</w:t>
            </w:r>
          </w:p>
        </w:tc>
        <w:tc>
          <w:tcPr>
            <w:tcW w:type="dxa" w:w="1440"/>
            <w:vAlign w:val="center"/>
          </w:tcPr>
          <w:p>
            <w:r>
              <w:rPr>
                <w:sz w:val="16"/>
              </w:rPr>
              <w:t>0.091 (0.063-0.148)</w:t>
            </w:r>
          </w:p>
        </w:tc>
        <w:tc>
          <w:tcPr>
            <w:tcW w:type="dxa" w:w="1440"/>
            <w:vAlign w:val="center"/>
          </w:tcPr>
          <w:p>
            <w:r>
              <w:rPr>
                <w:sz w:val="16"/>
              </w:rPr>
              <w:t>0.139</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0.594 (0.551-0.640)</w:t>
            </w:r>
          </w:p>
        </w:tc>
        <w:tc>
          <w:tcPr>
            <w:tcW w:type="dxa" w:w="1440"/>
            <w:vAlign w:val="center"/>
          </w:tcPr>
          <w:p>
            <w:r>
              <w:rPr>
                <w:sz w:val="16"/>
              </w:rPr>
              <w:t>0.245 (0.203-0.308)</w:t>
            </w:r>
          </w:p>
        </w:tc>
        <w:tc>
          <w:tcPr>
            <w:tcW w:type="dxa" w:w="1440"/>
            <w:vAlign w:val="center"/>
          </w:tcPr>
          <w:p>
            <w:r>
              <w:rPr>
                <w:sz w:val="16"/>
              </w:rPr>
              <w:t>0.065</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0.766 (0.737-0.794)</w:t>
            </w:r>
          </w:p>
        </w:tc>
        <w:tc>
          <w:tcPr>
            <w:tcW w:type="dxa" w:w="1440"/>
            <w:vAlign w:val="center"/>
          </w:tcPr>
          <w:p>
            <w:r>
              <w:rPr>
                <w:sz w:val="16"/>
              </w:rPr>
              <w:t>0.707 (0.666-0.751)</w:t>
            </w:r>
          </w:p>
        </w:tc>
        <w:tc>
          <w:tcPr>
            <w:tcW w:type="dxa" w:w="1440"/>
            <w:vAlign w:val="center"/>
          </w:tcPr>
          <w:p>
            <w:r>
              <w:rPr>
                <w:sz w:val="16"/>
              </w:rPr>
              <w:t>0.652</w:t>
            </w:r>
          </w:p>
        </w:tc>
      </w:tr>
    </w:tbl>
    <w:p>
      <w:pPr>
        <w:pStyle w:val="Heading2"/>
      </w:pPr>
      <w:r>
        <w:t>Table 3a. Macro-level Model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model</w:t>
            </w:r>
          </w:p>
        </w:tc>
        <w:tc>
          <w:tcPr>
            <w:tcW w:type="dxa" w:w="1440"/>
            <w:vAlign w:val="center"/>
            <w:shd w:fill="D9EAF7"/>
          </w:tcPr>
          <w:p>
            <w:r>
              <w:rPr>
                <w:b/>
                <w:sz w:val="16"/>
              </w:rPr>
              <w:t>internal AUROC</w:t>
            </w:r>
          </w:p>
        </w:tc>
        <w:tc>
          <w:tcPr>
            <w:tcW w:type="dxa" w:w="1440"/>
            <w:vAlign w:val="center"/>
            <w:shd w:fill="D9EAF7"/>
          </w:tcPr>
          <w:p>
            <w:r>
              <w:rPr>
                <w:b/>
                <w:sz w:val="16"/>
              </w:rPr>
              <w:t>internal AUPRC</w:t>
            </w:r>
          </w:p>
        </w:tc>
        <w:tc>
          <w:tcPr>
            <w:tcW w:type="dxa" w:w="1440"/>
            <w:vAlign w:val="center"/>
            <w:shd w:fill="D9EAF7"/>
          </w:tcPr>
          <w:p>
            <w:r>
              <w:rPr>
                <w:b/>
                <w:sz w:val="16"/>
              </w:rPr>
              <w:t>external AUROC</w:t>
            </w:r>
          </w:p>
        </w:tc>
        <w:tc>
          <w:tcPr>
            <w:tcW w:type="dxa" w:w="1440"/>
            <w:vAlign w:val="center"/>
            <w:shd w:fill="D9EAF7"/>
          </w:tcPr>
          <w:p>
            <w:r>
              <w:rPr>
                <w:b/>
                <w:sz w:val="16"/>
              </w:rPr>
              <w:t>external AUPRC</w:t>
            </w:r>
          </w:p>
        </w:tc>
        <w:tc>
          <w:tcPr>
            <w:tcW w:type="dxa" w:w="1440"/>
            <w:vAlign w:val="center"/>
            <w:shd w:fill="D9EAF7"/>
          </w:tcPr>
          <w:p>
            <w:r>
              <w:rPr>
                <w:b/>
                <w:sz w:val="16"/>
              </w:rPr>
              <w:t>AUROC drop</w:t>
            </w:r>
          </w:p>
        </w:tc>
        <w:tc>
          <w:tcPr>
            <w:tcW w:type="dxa" w:w="1440"/>
            <w:vAlign w:val="center"/>
            <w:shd w:fill="D9EAF7"/>
          </w:tcPr>
          <w:p>
            <w:r>
              <w:rPr>
                <w:b/>
                <w:sz w:val="16"/>
              </w:rPr>
              <w:t>AUPRC drop</w:t>
            </w:r>
          </w:p>
        </w:tc>
      </w:tr>
      <w:tr>
        <w:tc>
          <w:tcPr>
            <w:tcW w:type="dxa" w:w="1440"/>
            <w:vAlign w:val="center"/>
          </w:tcPr>
          <w:p>
            <w:r>
              <w:rPr>
                <w:sz w:val="16"/>
              </w:rPr>
              <w:t>DenseNet121</w:t>
            </w:r>
          </w:p>
        </w:tc>
        <w:tc>
          <w:tcPr>
            <w:tcW w:type="dxa" w:w="1440"/>
            <w:vAlign w:val="center"/>
          </w:tcPr>
          <w:p>
            <w:r>
              <w:rPr>
                <w:sz w:val="16"/>
              </w:rPr>
              <w:t>0.680</w:t>
            </w:r>
          </w:p>
        </w:tc>
        <w:tc>
          <w:tcPr>
            <w:tcW w:type="dxa" w:w="1440"/>
            <w:vAlign w:val="center"/>
          </w:tcPr>
          <w:p>
            <w:r>
              <w:rPr>
                <w:sz w:val="16"/>
              </w:rPr>
              <w:t>0.214</w:t>
            </w:r>
          </w:p>
        </w:tc>
        <w:tc>
          <w:tcPr>
            <w:tcW w:type="dxa" w:w="1440"/>
            <w:vAlign w:val="center"/>
          </w:tcPr>
          <w:p>
            <w:r>
              <w:rPr>
                <w:sz w:val="16"/>
              </w:rPr>
              <w:t>0.743</w:t>
            </w:r>
          </w:p>
        </w:tc>
        <w:tc>
          <w:tcPr>
            <w:tcW w:type="dxa" w:w="1440"/>
            <w:vAlign w:val="center"/>
          </w:tcPr>
          <w:p>
            <w:r>
              <w:rPr>
                <w:sz w:val="16"/>
              </w:rPr>
              <w:t>0.434</w:t>
            </w:r>
          </w:p>
        </w:tc>
        <w:tc>
          <w:tcPr>
            <w:tcW w:type="dxa" w:w="1440"/>
            <w:vAlign w:val="center"/>
          </w:tcPr>
          <w:p>
            <w:r>
              <w:rPr>
                <w:sz w:val="16"/>
              </w:rPr>
              <w:t>-0.062</w:t>
            </w:r>
          </w:p>
        </w:tc>
        <w:tc>
          <w:tcPr>
            <w:tcW w:type="dxa" w:w="1440"/>
            <w:vAlign w:val="center"/>
          </w:tcPr>
          <w:p>
            <w:r>
              <w:rPr>
                <w:sz w:val="16"/>
              </w:rPr>
              <w:t>-0.221</w:t>
            </w:r>
          </w:p>
        </w:tc>
      </w:tr>
      <w:tr>
        <w:tc>
          <w:tcPr>
            <w:tcW w:type="dxa" w:w="1440"/>
            <w:vAlign w:val="center"/>
          </w:tcPr>
          <w:p>
            <w:r>
              <w:rPr>
                <w:sz w:val="16"/>
              </w:rPr>
              <w:t>ResNet50</w:t>
            </w:r>
          </w:p>
        </w:tc>
        <w:tc>
          <w:tcPr>
            <w:tcW w:type="dxa" w:w="1440"/>
            <w:vAlign w:val="center"/>
          </w:tcPr>
          <w:p>
            <w:r>
              <w:rPr>
                <w:sz w:val="16"/>
              </w:rPr>
              <w:t>0.647</w:t>
            </w:r>
          </w:p>
        </w:tc>
        <w:tc>
          <w:tcPr>
            <w:tcW w:type="dxa" w:w="1440"/>
            <w:vAlign w:val="center"/>
          </w:tcPr>
          <w:p>
            <w:r>
              <w:rPr>
                <w:sz w:val="16"/>
              </w:rPr>
              <w:t>0.200</w:t>
            </w:r>
          </w:p>
        </w:tc>
        <w:tc>
          <w:tcPr>
            <w:tcW w:type="dxa" w:w="1440"/>
            <w:vAlign w:val="center"/>
          </w:tcPr>
          <w:p>
            <w:r>
              <w:rPr>
                <w:sz w:val="16"/>
              </w:rPr>
              <w:t>0.728</w:t>
            </w:r>
          </w:p>
        </w:tc>
        <w:tc>
          <w:tcPr>
            <w:tcW w:type="dxa" w:w="1440"/>
            <w:vAlign w:val="center"/>
          </w:tcPr>
          <w:p>
            <w:r>
              <w:rPr>
                <w:sz w:val="16"/>
              </w:rPr>
              <w:t>0.418</w:t>
            </w:r>
          </w:p>
        </w:tc>
        <w:tc>
          <w:tcPr>
            <w:tcW w:type="dxa" w:w="1440"/>
            <w:vAlign w:val="center"/>
          </w:tcPr>
          <w:p>
            <w:r>
              <w:rPr>
                <w:sz w:val="16"/>
              </w:rPr>
              <w:t>-0.081</w:t>
            </w:r>
          </w:p>
        </w:tc>
        <w:tc>
          <w:tcPr>
            <w:tcW w:type="dxa" w:w="1440"/>
            <w:vAlign w:val="center"/>
          </w:tcPr>
          <w:p>
            <w:r>
              <w:rPr>
                <w:sz w:val="16"/>
              </w:rPr>
              <w:t>-0.218</w:t>
            </w:r>
          </w:p>
        </w:tc>
      </w:tr>
      <w:tr>
        <w:tc>
          <w:tcPr>
            <w:tcW w:type="dxa" w:w="1440"/>
            <w:vAlign w:val="center"/>
          </w:tcPr>
          <w:p>
            <w:r>
              <w:rPr>
                <w:sz w:val="16"/>
              </w:rPr>
              <w:t>EfficientNet-B0</w:t>
            </w:r>
          </w:p>
        </w:tc>
        <w:tc>
          <w:tcPr>
            <w:tcW w:type="dxa" w:w="1440"/>
            <w:vAlign w:val="center"/>
          </w:tcPr>
          <w:p>
            <w:r>
              <w:rPr>
                <w:sz w:val="16"/>
              </w:rPr>
              <w:t>0.656</w:t>
            </w:r>
          </w:p>
        </w:tc>
        <w:tc>
          <w:tcPr>
            <w:tcW w:type="dxa" w:w="1440"/>
            <w:vAlign w:val="center"/>
          </w:tcPr>
          <w:p>
            <w:r>
              <w:rPr>
                <w:sz w:val="16"/>
              </w:rPr>
              <w:t>0.218</w:t>
            </w:r>
          </w:p>
        </w:tc>
        <w:tc>
          <w:tcPr>
            <w:tcW w:type="dxa" w:w="1440"/>
            <w:vAlign w:val="center"/>
          </w:tcPr>
          <w:p>
            <w:r>
              <w:rPr>
                <w:sz w:val="16"/>
              </w:rPr>
              <w:t>0.656</w:t>
            </w:r>
          </w:p>
        </w:tc>
        <w:tc>
          <w:tcPr>
            <w:tcW w:type="dxa" w:w="1440"/>
            <w:vAlign w:val="center"/>
          </w:tcPr>
          <w:p>
            <w:r>
              <w:rPr>
                <w:sz w:val="16"/>
              </w:rPr>
              <w:t>0.370</w:t>
            </w:r>
          </w:p>
        </w:tc>
        <w:tc>
          <w:tcPr>
            <w:tcW w:type="dxa" w:w="1440"/>
            <w:vAlign w:val="center"/>
          </w:tcPr>
          <w:p>
            <w:r>
              <w:rPr>
                <w:sz w:val="16"/>
              </w:rPr>
              <w:t>-0.000</w:t>
            </w:r>
          </w:p>
        </w:tc>
        <w:tc>
          <w:tcPr>
            <w:tcW w:type="dxa" w:w="1440"/>
            <w:vAlign w:val="center"/>
          </w:tcPr>
          <w:p>
            <w:r>
              <w:rPr>
                <w:sz w:val="16"/>
              </w:rPr>
              <w:t>-0.153</w:t>
            </w:r>
          </w:p>
        </w:tc>
      </w:tr>
    </w:tbl>
    <w:p>
      <w:pPr>
        <w:pStyle w:val="Heading2"/>
      </w:pPr>
      <w:r>
        <w:t>Table 4. Calibration Metrics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dataset</w:t>
            </w:r>
          </w:p>
        </w:tc>
        <w:tc>
          <w:tcPr>
            <w:tcW w:type="dxa" w:w="1440"/>
            <w:vAlign w:val="center"/>
            <w:shd w:fill="D9EAF7"/>
          </w:tcPr>
          <w:p>
            <w:r>
              <w:rPr>
                <w:b/>
                <w:sz w:val="16"/>
              </w:rPr>
              <w:t>method</w:t>
            </w:r>
          </w:p>
        </w:tc>
        <w:tc>
          <w:tcPr>
            <w:tcW w:type="dxa" w:w="1440"/>
            <w:vAlign w:val="center"/>
            <w:shd w:fill="D9EAF7"/>
          </w:tcPr>
          <w:p>
            <w:r>
              <w:rPr>
                <w:b/>
                <w:sz w:val="16"/>
              </w:rPr>
              <w:t>brier</w:t>
            </w:r>
          </w:p>
        </w:tc>
        <w:tc>
          <w:tcPr>
            <w:tcW w:type="dxa" w:w="1440"/>
            <w:vAlign w:val="center"/>
            <w:shd w:fill="D9EAF7"/>
          </w:tcPr>
          <w:p>
            <w:r>
              <w:rPr>
                <w:b/>
                <w:sz w:val="16"/>
              </w:rPr>
              <w:t>ece</w:t>
            </w:r>
          </w:p>
        </w:tc>
        <w:tc>
          <w:tcPr>
            <w:tcW w:type="dxa" w:w="1440"/>
            <w:vAlign w:val="center"/>
            <w:shd w:fill="D9EAF7"/>
          </w:tcPr>
          <w:p>
            <w:r>
              <w:rPr>
                <w:b/>
                <w:sz w:val="16"/>
              </w:rPr>
              <w:t>mce</w:t>
            </w:r>
          </w:p>
        </w:tc>
        <w:tc>
          <w:tcPr>
            <w:tcW w:type="dxa" w:w="1440"/>
            <w:vAlign w:val="center"/>
            <w:shd w:fill="D9EAF7"/>
          </w:tcPr>
          <w:p>
            <w:r>
              <w:rPr>
                <w:b/>
                <w:sz w:val="16"/>
              </w:rPr>
              <w:t>slope</w:t>
            </w:r>
          </w:p>
        </w:tc>
        <w:tc>
          <w:tcPr>
            <w:tcW w:type="dxa" w:w="1440"/>
            <w:vAlign w:val="center"/>
            <w:shd w:fill="D9EAF7"/>
          </w:tcPr>
          <w:p>
            <w:r>
              <w:rPr>
                <w:b/>
                <w:sz w:val="16"/>
              </w:rPr>
              <w:t>intercept</w:t>
            </w:r>
          </w:p>
        </w:tc>
      </w:tr>
      <w:tr>
        <w:tc>
          <w:tcPr>
            <w:tcW w:type="dxa" w:w="1440"/>
            <w:vAlign w:val="center"/>
          </w:tcPr>
          <w:p>
            <w:r>
              <w:rPr>
                <w:sz w:val="16"/>
              </w:rPr>
              <w:t>NIH_internal_test</w:t>
            </w:r>
          </w:p>
        </w:tc>
        <w:tc>
          <w:tcPr>
            <w:tcW w:type="dxa" w:w="1440"/>
            <w:vAlign w:val="center"/>
          </w:tcPr>
          <w:p>
            <w:r>
              <w:rPr>
                <w:sz w:val="16"/>
              </w:rPr>
              <w:t>uncalibrated</w:t>
            </w:r>
          </w:p>
        </w:tc>
        <w:tc>
          <w:tcPr>
            <w:tcW w:type="dxa" w:w="1440"/>
            <w:vAlign w:val="center"/>
          </w:tcPr>
          <w:p>
            <w:r>
              <w:rPr>
                <w:sz w:val="16"/>
              </w:rPr>
              <w:t>0.193</w:t>
            </w:r>
          </w:p>
        </w:tc>
        <w:tc>
          <w:tcPr>
            <w:tcW w:type="dxa" w:w="1440"/>
            <w:vAlign w:val="center"/>
          </w:tcPr>
          <w:p>
            <w:r>
              <w:rPr>
                <w:sz w:val="16"/>
              </w:rPr>
              <w:t>0.269</w:t>
            </w:r>
          </w:p>
        </w:tc>
        <w:tc>
          <w:tcPr>
            <w:tcW w:type="dxa" w:w="1440"/>
            <w:vAlign w:val="center"/>
          </w:tcPr>
          <w:p>
            <w:r>
              <w:rPr>
                <w:sz w:val="16"/>
              </w:rPr>
              <w:t>0.539</w:t>
            </w:r>
          </w:p>
        </w:tc>
        <w:tc>
          <w:tcPr>
            <w:tcW w:type="dxa" w:w="1440"/>
            <w:vAlign w:val="center"/>
          </w:tcPr>
          <w:p>
            <w:r>
              <w:rPr>
                <w:sz w:val="16"/>
              </w:rPr>
              <w:t>0.633</w:t>
            </w:r>
          </w:p>
        </w:tc>
        <w:tc>
          <w:tcPr>
            <w:tcW w:type="dxa" w:w="1440"/>
            <w:vAlign w:val="center"/>
          </w:tcPr>
          <w:p>
            <w:r>
              <w:rPr>
                <w:sz w:val="16"/>
              </w:rPr>
              <w:t>-2.285</w:t>
            </w:r>
          </w:p>
        </w:tc>
      </w:tr>
      <w:tr>
        <w:tc>
          <w:tcPr>
            <w:tcW w:type="dxa" w:w="1440"/>
            <w:vAlign w:val="center"/>
          </w:tcPr>
          <w:p>
            <w:r>
              <w:rPr>
                <w:sz w:val="16"/>
              </w:rPr>
              <w:t>NIH_internal_test</w:t>
            </w:r>
          </w:p>
        </w:tc>
        <w:tc>
          <w:tcPr>
            <w:tcW w:type="dxa" w:w="1440"/>
            <w:vAlign w:val="center"/>
          </w:tcPr>
          <w:p>
            <w:r>
              <w:rPr>
                <w:sz w:val="16"/>
              </w:rPr>
              <w:t>temperature</w:t>
            </w:r>
          </w:p>
        </w:tc>
        <w:tc>
          <w:tcPr>
            <w:tcW w:type="dxa" w:w="1440"/>
            <w:vAlign w:val="center"/>
          </w:tcPr>
          <w:p>
            <w:r>
              <w:rPr>
                <w:sz w:val="16"/>
              </w:rPr>
              <w:t>0.189</w:t>
            </w:r>
          </w:p>
        </w:tc>
        <w:tc>
          <w:tcPr>
            <w:tcW w:type="dxa" w:w="1440"/>
            <w:vAlign w:val="center"/>
          </w:tcPr>
          <w:p>
            <w:r>
              <w:rPr>
                <w:sz w:val="16"/>
              </w:rPr>
              <w:t>0.280</w:t>
            </w:r>
          </w:p>
        </w:tc>
        <w:tc>
          <w:tcPr>
            <w:tcW w:type="dxa" w:w="1440"/>
            <w:vAlign w:val="center"/>
          </w:tcPr>
          <w:p>
            <w:r>
              <w:rPr>
                <w:sz w:val="16"/>
              </w:rPr>
              <w:t>0.556</w:t>
            </w:r>
          </w:p>
        </w:tc>
        <w:tc>
          <w:tcPr>
            <w:tcW w:type="dxa" w:w="1440"/>
            <w:vAlign w:val="center"/>
          </w:tcPr>
          <w:p>
            <w:r>
              <w:rPr>
                <w:sz w:val="16"/>
              </w:rPr>
              <w:t>0.821</w:t>
            </w:r>
          </w:p>
        </w:tc>
        <w:tc>
          <w:tcPr>
            <w:tcW w:type="dxa" w:w="1440"/>
            <w:vAlign w:val="center"/>
          </w:tcPr>
          <w:p>
            <w:r>
              <w:rPr>
                <w:sz w:val="16"/>
              </w:rPr>
              <w:t>-2.286</w:t>
            </w:r>
          </w:p>
        </w:tc>
      </w:tr>
      <w:tr>
        <w:tc>
          <w:tcPr>
            <w:tcW w:type="dxa" w:w="1440"/>
            <w:vAlign w:val="center"/>
          </w:tcPr>
          <w:p>
            <w:r>
              <w:rPr>
                <w:sz w:val="16"/>
              </w:rPr>
              <w:t>NIH_internal_test</w:t>
            </w:r>
          </w:p>
        </w:tc>
        <w:tc>
          <w:tcPr>
            <w:tcW w:type="dxa" w:w="1440"/>
            <w:vAlign w:val="center"/>
          </w:tcPr>
          <w:p>
            <w:r>
              <w:rPr>
                <w:sz w:val="16"/>
              </w:rPr>
              <w:t>platt</w:t>
            </w:r>
          </w:p>
        </w:tc>
        <w:tc>
          <w:tcPr>
            <w:tcW w:type="dxa" w:w="1440"/>
            <w:vAlign w:val="center"/>
          </w:tcPr>
          <w:p>
            <w:r>
              <w:rPr>
                <w:sz w:val="16"/>
              </w:rPr>
              <w:t>0.079</w:t>
            </w:r>
          </w:p>
        </w:tc>
        <w:tc>
          <w:tcPr>
            <w:tcW w:type="dxa" w:w="1440"/>
            <w:vAlign w:val="center"/>
          </w:tcPr>
          <w:p>
            <w:r>
              <w:rPr>
                <w:sz w:val="16"/>
              </w:rPr>
              <w:t>0.028</w:t>
            </w:r>
          </w:p>
        </w:tc>
        <w:tc>
          <w:tcPr>
            <w:tcW w:type="dxa" w:w="1440"/>
            <w:vAlign w:val="center"/>
          </w:tcPr>
          <w:p>
            <w:r>
              <w:rPr>
                <w:sz w:val="16"/>
              </w:rPr>
              <w:t>0.269</w:t>
            </w:r>
          </w:p>
        </w:tc>
        <w:tc>
          <w:tcPr>
            <w:tcW w:type="dxa" w:w="1440"/>
            <w:vAlign w:val="center"/>
          </w:tcPr>
          <w:p>
            <w:r>
              <w:rPr>
                <w:sz w:val="16"/>
              </w:rPr>
              <w:t>1.151</w:t>
            </w:r>
          </w:p>
        </w:tc>
        <w:tc>
          <w:tcPr>
            <w:tcW w:type="dxa" w:w="1440"/>
            <w:vAlign w:val="center"/>
          </w:tcPr>
          <w:p>
            <w:r>
              <w:rPr>
                <w:sz w:val="16"/>
              </w:rPr>
              <w:t>0.389</w:t>
            </w:r>
          </w:p>
        </w:tc>
      </w:tr>
      <w:tr>
        <w:tc>
          <w:tcPr>
            <w:tcW w:type="dxa" w:w="1440"/>
            <w:vAlign w:val="center"/>
          </w:tcPr>
          <w:p>
            <w:r>
              <w:rPr>
                <w:sz w:val="16"/>
              </w:rPr>
              <w:t>NIH_internal_test</w:t>
            </w:r>
          </w:p>
        </w:tc>
        <w:tc>
          <w:tcPr>
            <w:tcW w:type="dxa" w:w="1440"/>
            <w:vAlign w:val="center"/>
          </w:tcPr>
          <w:p>
            <w:r>
              <w:rPr>
                <w:sz w:val="16"/>
              </w:rPr>
              <w:t>isotonic</w:t>
            </w:r>
          </w:p>
        </w:tc>
        <w:tc>
          <w:tcPr>
            <w:tcW w:type="dxa" w:w="1440"/>
            <w:vAlign w:val="center"/>
          </w:tcPr>
          <w:p>
            <w:r>
              <w:rPr>
                <w:sz w:val="16"/>
              </w:rPr>
              <w:t>0.081</w:t>
            </w:r>
          </w:p>
        </w:tc>
        <w:tc>
          <w:tcPr>
            <w:tcW w:type="dxa" w:w="1440"/>
            <w:vAlign w:val="center"/>
          </w:tcPr>
          <w:p>
            <w:r>
              <w:rPr>
                <w:sz w:val="16"/>
              </w:rPr>
              <w:t>0.031</w:t>
            </w:r>
          </w:p>
        </w:tc>
        <w:tc>
          <w:tcPr>
            <w:tcW w:type="dxa" w:w="1440"/>
            <w:vAlign w:val="center"/>
          </w:tcPr>
          <w:p>
            <w:r>
              <w:rPr>
                <w:sz w:val="16"/>
              </w:rPr>
              <w:t>0.286</w:t>
            </w:r>
          </w:p>
        </w:tc>
        <w:tc>
          <w:tcPr>
            <w:tcW w:type="dxa" w:w="1440"/>
            <w:vAlign w:val="center"/>
          </w:tcPr>
          <w:p>
            <w:r>
              <w:rPr>
                <w:sz w:val="16"/>
              </w:rPr>
              <w:t>0.405</w:t>
            </w:r>
          </w:p>
        </w:tc>
        <w:tc>
          <w:tcPr>
            <w:tcW w:type="dxa" w:w="1440"/>
            <w:vAlign w:val="center"/>
          </w:tcPr>
          <w:p>
            <w:r>
              <w:rPr>
                <w:sz w:val="16"/>
              </w:rPr>
              <w:t>-1.389</w:t>
            </w:r>
          </w:p>
        </w:tc>
      </w:tr>
      <w:tr>
        <w:tc>
          <w:tcPr>
            <w:tcW w:type="dxa" w:w="1440"/>
            <w:vAlign w:val="center"/>
          </w:tcPr>
          <w:p>
            <w:r>
              <w:rPr>
                <w:sz w:val="16"/>
              </w:rPr>
              <w:t>VinDr_external</w:t>
            </w:r>
          </w:p>
        </w:tc>
        <w:tc>
          <w:tcPr>
            <w:tcW w:type="dxa" w:w="1440"/>
            <w:vAlign w:val="center"/>
          </w:tcPr>
          <w:p>
            <w:r>
              <w:rPr>
                <w:sz w:val="16"/>
              </w:rPr>
              <w:t>uncalibrated</w:t>
            </w:r>
          </w:p>
        </w:tc>
        <w:tc>
          <w:tcPr>
            <w:tcW w:type="dxa" w:w="1440"/>
            <w:vAlign w:val="center"/>
          </w:tcPr>
          <w:p>
            <w:r>
              <w:rPr>
                <w:sz w:val="16"/>
              </w:rPr>
              <w:t>0.157</w:t>
            </w:r>
          </w:p>
        </w:tc>
        <w:tc>
          <w:tcPr>
            <w:tcW w:type="dxa" w:w="1440"/>
            <w:vAlign w:val="center"/>
          </w:tcPr>
          <w:p>
            <w:r>
              <w:rPr>
                <w:sz w:val="16"/>
              </w:rPr>
              <w:t>0.197</w:t>
            </w:r>
          </w:p>
        </w:tc>
        <w:tc>
          <w:tcPr>
            <w:tcW w:type="dxa" w:w="1440"/>
            <w:vAlign w:val="center"/>
          </w:tcPr>
          <w:p>
            <w:r>
              <w:rPr>
                <w:sz w:val="16"/>
              </w:rPr>
              <w:t>0.484</w:t>
            </w:r>
          </w:p>
        </w:tc>
        <w:tc>
          <w:tcPr>
            <w:tcW w:type="dxa" w:w="1440"/>
            <w:vAlign w:val="center"/>
          </w:tcPr>
          <w:p>
            <w:r>
              <w:rPr>
                <w:sz w:val="16"/>
              </w:rPr>
              <w:t>1.128</w:t>
            </w:r>
          </w:p>
        </w:tc>
        <w:tc>
          <w:tcPr>
            <w:tcW w:type="dxa" w:w="1440"/>
            <w:vAlign w:val="center"/>
          </w:tcPr>
          <w:p>
            <w:r>
              <w:rPr>
                <w:sz w:val="16"/>
              </w:rPr>
              <w:t>-1.658</w:t>
            </w:r>
          </w:p>
        </w:tc>
      </w:tr>
      <w:tr>
        <w:tc>
          <w:tcPr>
            <w:tcW w:type="dxa" w:w="1440"/>
            <w:vAlign w:val="center"/>
          </w:tcPr>
          <w:p>
            <w:r>
              <w:rPr>
                <w:sz w:val="16"/>
              </w:rPr>
              <w:t>VinDr_external</w:t>
            </w:r>
          </w:p>
        </w:tc>
        <w:tc>
          <w:tcPr>
            <w:tcW w:type="dxa" w:w="1440"/>
            <w:vAlign w:val="center"/>
          </w:tcPr>
          <w:p>
            <w:r>
              <w:rPr>
                <w:sz w:val="16"/>
              </w:rPr>
              <w:t>temperature</w:t>
            </w:r>
          </w:p>
        </w:tc>
        <w:tc>
          <w:tcPr>
            <w:tcW w:type="dxa" w:w="1440"/>
            <w:vAlign w:val="center"/>
          </w:tcPr>
          <w:p>
            <w:r>
              <w:rPr>
                <w:sz w:val="16"/>
              </w:rPr>
              <w:t>0.159</w:t>
            </w:r>
          </w:p>
        </w:tc>
        <w:tc>
          <w:tcPr>
            <w:tcW w:type="dxa" w:w="1440"/>
            <w:vAlign w:val="center"/>
          </w:tcPr>
          <w:p>
            <w:r>
              <w:rPr>
                <w:sz w:val="16"/>
              </w:rPr>
              <w:t>0.214</w:t>
            </w:r>
          </w:p>
        </w:tc>
        <w:tc>
          <w:tcPr>
            <w:tcW w:type="dxa" w:w="1440"/>
            <w:vAlign w:val="center"/>
          </w:tcPr>
          <w:p>
            <w:r>
              <w:rPr>
                <w:sz w:val="16"/>
              </w:rPr>
              <w:t>0.452</w:t>
            </w:r>
          </w:p>
        </w:tc>
        <w:tc>
          <w:tcPr>
            <w:tcW w:type="dxa" w:w="1440"/>
            <w:vAlign w:val="center"/>
          </w:tcPr>
          <w:p>
            <w:r>
              <w:rPr>
                <w:sz w:val="16"/>
              </w:rPr>
              <w:t>1.466</w:t>
            </w:r>
          </w:p>
        </w:tc>
        <w:tc>
          <w:tcPr>
            <w:tcW w:type="dxa" w:w="1440"/>
            <w:vAlign w:val="center"/>
          </w:tcPr>
          <w:p>
            <w:r>
              <w:rPr>
                <w:sz w:val="16"/>
              </w:rPr>
              <w:t>-1.657</w:t>
            </w:r>
          </w:p>
        </w:tc>
      </w:tr>
      <w:tr>
        <w:tc>
          <w:tcPr>
            <w:tcW w:type="dxa" w:w="1440"/>
            <w:vAlign w:val="center"/>
          </w:tcPr>
          <w:p>
            <w:r>
              <w:rPr>
                <w:sz w:val="16"/>
              </w:rPr>
              <w:t>VinDr_external</w:t>
            </w:r>
          </w:p>
        </w:tc>
        <w:tc>
          <w:tcPr>
            <w:tcW w:type="dxa" w:w="1440"/>
            <w:vAlign w:val="center"/>
          </w:tcPr>
          <w:p>
            <w:r>
              <w:rPr>
                <w:sz w:val="16"/>
              </w:rPr>
              <w:t>platt</w:t>
            </w:r>
          </w:p>
        </w:tc>
        <w:tc>
          <w:tcPr>
            <w:tcW w:type="dxa" w:w="1440"/>
            <w:vAlign w:val="center"/>
          </w:tcPr>
          <w:p>
            <w:r>
              <w:rPr>
                <w:sz w:val="16"/>
              </w:rPr>
              <w:t>0.120</w:t>
            </w:r>
          </w:p>
        </w:tc>
        <w:tc>
          <w:tcPr>
            <w:tcW w:type="dxa" w:w="1440"/>
            <w:vAlign w:val="center"/>
          </w:tcPr>
          <w:p>
            <w:r>
              <w:rPr>
                <w:sz w:val="16"/>
              </w:rPr>
              <w:t>0.099</w:t>
            </w:r>
          </w:p>
        </w:tc>
        <w:tc>
          <w:tcPr>
            <w:tcW w:type="dxa" w:w="1440"/>
            <w:vAlign w:val="center"/>
          </w:tcPr>
          <w:p>
            <w:r>
              <w:rPr>
                <w:sz w:val="16"/>
              </w:rPr>
              <w:t>0.236</w:t>
            </w:r>
          </w:p>
        </w:tc>
        <w:tc>
          <w:tcPr>
            <w:tcW w:type="dxa" w:w="1440"/>
            <w:vAlign w:val="center"/>
          </w:tcPr>
          <w:p>
            <w:r>
              <w:rPr>
                <w:sz w:val="16"/>
              </w:rPr>
              <w:t>2.436</w:t>
            </w:r>
          </w:p>
        </w:tc>
        <w:tc>
          <w:tcPr>
            <w:tcW w:type="dxa" w:w="1440"/>
            <w:vAlign w:val="center"/>
          </w:tcPr>
          <w:p>
            <w:r>
              <w:rPr>
                <w:sz w:val="16"/>
              </w:rPr>
              <w:t>3.957</w:t>
            </w:r>
          </w:p>
        </w:tc>
      </w:tr>
      <w:tr>
        <w:tc>
          <w:tcPr>
            <w:tcW w:type="dxa" w:w="1440"/>
            <w:vAlign w:val="center"/>
          </w:tcPr>
          <w:p>
            <w:r>
              <w:rPr>
                <w:sz w:val="16"/>
              </w:rPr>
              <w:t>VinDr_external</w:t>
            </w:r>
          </w:p>
        </w:tc>
        <w:tc>
          <w:tcPr>
            <w:tcW w:type="dxa" w:w="1440"/>
            <w:vAlign w:val="center"/>
          </w:tcPr>
          <w:p>
            <w:r>
              <w:rPr>
                <w:sz w:val="16"/>
              </w:rPr>
              <w:t>isotonic</w:t>
            </w:r>
          </w:p>
        </w:tc>
        <w:tc>
          <w:tcPr>
            <w:tcW w:type="dxa" w:w="1440"/>
            <w:vAlign w:val="center"/>
          </w:tcPr>
          <w:p>
            <w:r>
              <w:rPr>
                <w:sz w:val="16"/>
              </w:rPr>
              <w:t>0.119</w:t>
            </w:r>
          </w:p>
        </w:tc>
        <w:tc>
          <w:tcPr>
            <w:tcW w:type="dxa" w:w="1440"/>
            <w:vAlign w:val="center"/>
          </w:tcPr>
          <w:p>
            <w:r>
              <w:rPr>
                <w:sz w:val="16"/>
              </w:rPr>
              <w:t>0.095</w:t>
            </w:r>
          </w:p>
        </w:tc>
        <w:tc>
          <w:tcPr>
            <w:tcW w:type="dxa" w:w="1440"/>
            <w:vAlign w:val="center"/>
          </w:tcPr>
          <w:p>
            <w:r>
              <w:rPr>
                <w:sz w:val="16"/>
              </w:rPr>
              <w:t>0.322</w:t>
            </w:r>
          </w:p>
        </w:tc>
        <w:tc>
          <w:tcPr>
            <w:tcW w:type="dxa" w:w="1440"/>
            <w:vAlign w:val="center"/>
          </w:tcPr>
          <w:p>
            <w:r>
              <w:rPr>
                <w:sz w:val="16"/>
              </w:rPr>
              <w:t>1.159</w:t>
            </w:r>
          </w:p>
        </w:tc>
        <w:tc>
          <w:tcPr>
            <w:tcW w:type="dxa" w:w="1440"/>
            <w:vAlign w:val="center"/>
          </w:tcPr>
          <w:p>
            <w:r>
              <w:rPr>
                <w:sz w:val="16"/>
              </w:rPr>
              <w:t>0.548</w:t>
            </w:r>
          </w:p>
        </w:tc>
      </w:tr>
    </w:tbl>
    <w:p>
      <w:pPr>
        <w:pStyle w:val="Heading2"/>
      </w:pPr>
      <w:r>
        <w:t>Table 5. Sensitivity and Subgroup Analysis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6"/>
              </w:rPr>
              <w:t>subgroup_variable</w:t>
            </w:r>
          </w:p>
        </w:tc>
        <w:tc>
          <w:tcPr>
            <w:tcW w:type="dxa" w:w="1260"/>
            <w:vAlign w:val="center"/>
            <w:shd w:fill="D9EAF7"/>
          </w:tcPr>
          <w:p>
            <w:r>
              <w:rPr>
                <w:b/>
                <w:sz w:val="16"/>
              </w:rPr>
              <w:t>subgroup</w:t>
            </w:r>
          </w:p>
        </w:tc>
        <w:tc>
          <w:tcPr>
            <w:tcW w:type="dxa" w:w="1260"/>
            <w:vAlign w:val="center"/>
            <w:shd w:fill="D9EAF7"/>
          </w:tcPr>
          <w:p>
            <w:r>
              <w:rPr>
                <w:b/>
                <w:sz w:val="16"/>
              </w:rPr>
              <w:t>n_images</w:t>
            </w:r>
          </w:p>
        </w:tc>
        <w:tc>
          <w:tcPr>
            <w:tcW w:type="dxa" w:w="1260"/>
            <w:vAlign w:val="center"/>
            <w:shd w:fill="D9EAF7"/>
          </w:tcPr>
          <w:p>
            <w:r>
              <w:rPr>
                <w:b/>
                <w:sz w:val="16"/>
              </w:rPr>
              <w:t>n_patients</w:t>
            </w:r>
          </w:p>
        </w:tc>
        <w:tc>
          <w:tcPr>
            <w:tcW w:type="dxa" w:w="1260"/>
            <w:vAlign w:val="center"/>
            <w:shd w:fill="D9EAF7"/>
          </w:tcPr>
          <w:p>
            <w:r>
              <w:rPr>
                <w:b/>
                <w:sz w:val="16"/>
              </w:rPr>
              <w:t>macro_auroc</w:t>
            </w:r>
          </w:p>
        </w:tc>
        <w:tc>
          <w:tcPr>
            <w:tcW w:type="dxa" w:w="1260"/>
            <w:vAlign w:val="center"/>
            <w:shd w:fill="D9EAF7"/>
          </w:tcPr>
          <w:p>
            <w:r>
              <w:rPr>
                <w:b/>
                <w:sz w:val="16"/>
              </w:rPr>
              <w:t>macro_auprc</w:t>
            </w:r>
          </w:p>
        </w:tc>
        <w:tc>
          <w:tcPr>
            <w:tcW w:type="dxa" w:w="1260"/>
            <w:vAlign w:val="center"/>
            <w:shd w:fill="D9EAF7"/>
          </w:tcPr>
          <w:p>
            <w:r>
              <w:rPr>
                <w:b/>
                <w:sz w:val="16"/>
              </w:rPr>
              <w:t>macro_f1</w:t>
            </w:r>
          </w:p>
        </w:tc>
        <w:tc>
          <w:tcPr>
            <w:tcW w:type="dxa" w:w="1260"/>
            <w:vAlign w:val="center"/>
            <w:shd w:fill="D9EAF7"/>
          </w:tcPr>
          <w:p>
            <w:r>
              <w:rPr>
                <w:b/>
                <w:sz w:val="16"/>
              </w:rPr>
              <w:t>macro_accuracy</w:t>
            </w:r>
          </w:p>
        </w:tc>
      </w:tr>
      <w:tr>
        <w:tc>
          <w:tcPr>
            <w:tcW w:type="dxa" w:w="1260"/>
            <w:vAlign w:val="center"/>
          </w:tcPr>
          <w:p>
            <w:r>
              <w:rPr>
                <w:sz w:val="16"/>
              </w:rPr>
              <w:t>sex</w:t>
            </w:r>
          </w:p>
        </w:tc>
        <w:tc>
          <w:tcPr>
            <w:tcW w:type="dxa" w:w="1260"/>
            <w:vAlign w:val="center"/>
          </w:tcPr>
          <w:p>
            <w:r>
              <w:rPr>
                <w:sz w:val="16"/>
              </w:rPr>
              <w:t>F</w:t>
            </w:r>
          </w:p>
        </w:tc>
        <w:tc>
          <w:tcPr>
            <w:tcW w:type="dxa" w:w="1260"/>
            <w:vAlign w:val="center"/>
          </w:tcPr>
          <w:p>
            <w:r>
              <w:rPr>
                <w:sz w:val="16"/>
              </w:rPr>
              <w:t>299</w:t>
            </w:r>
          </w:p>
        </w:tc>
        <w:tc>
          <w:tcPr>
            <w:tcW w:type="dxa" w:w="1260"/>
            <w:vAlign w:val="center"/>
          </w:tcPr>
          <w:p>
            <w:r>
              <w:rPr>
                <w:sz w:val="16"/>
              </w:rPr>
              <w:t>160</w:t>
            </w:r>
          </w:p>
        </w:tc>
        <w:tc>
          <w:tcPr>
            <w:tcW w:type="dxa" w:w="1260"/>
            <w:vAlign w:val="center"/>
          </w:tcPr>
          <w:p>
            <w:r>
              <w:rPr>
                <w:sz w:val="16"/>
              </w:rPr>
              <w:t>0.681</w:t>
            </w:r>
          </w:p>
        </w:tc>
        <w:tc>
          <w:tcPr>
            <w:tcW w:type="dxa" w:w="1260"/>
            <w:vAlign w:val="center"/>
          </w:tcPr>
          <w:p>
            <w:r>
              <w:rPr>
                <w:sz w:val="16"/>
              </w:rPr>
              <w:t>0.246</w:t>
            </w:r>
          </w:p>
        </w:tc>
        <w:tc>
          <w:tcPr>
            <w:tcW w:type="dxa" w:w="1260"/>
            <w:vAlign w:val="center"/>
          </w:tcPr>
          <w:p>
            <w:r>
              <w:rPr>
                <w:sz w:val="16"/>
              </w:rPr>
              <w:t>0.265</w:t>
            </w:r>
          </w:p>
        </w:tc>
        <w:tc>
          <w:tcPr>
            <w:tcW w:type="dxa" w:w="1260"/>
            <w:vAlign w:val="center"/>
          </w:tcPr>
          <w:p>
            <w:r>
              <w:rPr>
                <w:sz w:val="16"/>
              </w:rPr>
              <w:t>0.752</w:t>
            </w:r>
          </w:p>
        </w:tc>
      </w:tr>
      <w:tr>
        <w:tc>
          <w:tcPr>
            <w:tcW w:type="dxa" w:w="1260"/>
            <w:vAlign w:val="center"/>
          </w:tcPr>
          <w:p>
            <w:r>
              <w:rPr>
                <w:sz w:val="16"/>
              </w:rPr>
              <w:t>sex</w:t>
            </w:r>
          </w:p>
        </w:tc>
        <w:tc>
          <w:tcPr>
            <w:tcW w:type="dxa" w:w="1260"/>
            <w:vAlign w:val="center"/>
          </w:tcPr>
          <w:p>
            <w:r>
              <w:rPr>
                <w:sz w:val="16"/>
              </w:rPr>
              <w:t>M</w:t>
            </w:r>
          </w:p>
        </w:tc>
        <w:tc>
          <w:tcPr>
            <w:tcW w:type="dxa" w:w="1260"/>
            <w:vAlign w:val="center"/>
          </w:tcPr>
          <w:p>
            <w:r>
              <w:rPr>
                <w:sz w:val="16"/>
              </w:rPr>
              <w:t>440</w:t>
            </w:r>
          </w:p>
        </w:tc>
        <w:tc>
          <w:tcPr>
            <w:tcW w:type="dxa" w:w="1260"/>
            <w:vAlign w:val="center"/>
          </w:tcPr>
          <w:p>
            <w:r>
              <w:rPr>
                <w:sz w:val="16"/>
              </w:rPr>
              <w:t>219</w:t>
            </w:r>
          </w:p>
        </w:tc>
        <w:tc>
          <w:tcPr>
            <w:tcW w:type="dxa" w:w="1260"/>
            <w:vAlign w:val="center"/>
          </w:tcPr>
          <w:p>
            <w:r>
              <w:rPr>
                <w:sz w:val="16"/>
              </w:rPr>
              <w:t>0.674</w:t>
            </w:r>
          </w:p>
        </w:tc>
        <w:tc>
          <w:tcPr>
            <w:tcW w:type="dxa" w:w="1260"/>
            <w:vAlign w:val="center"/>
          </w:tcPr>
          <w:p>
            <w:r>
              <w:rPr>
                <w:sz w:val="16"/>
              </w:rPr>
              <w:t>0.189</w:t>
            </w:r>
          </w:p>
        </w:tc>
        <w:tc>
          <w:tcPr>
            <w:tcW w:type="dxa" w:w="1260"/>
            <w:vAlign w:val="center"/>
          </w:tcPr>
          <w:p>
            <w:r>
              <w:rPr>
                <w:sz w:val="16"/>
              </w:rPr>
              <w:t>0.225</w:t>
            </w:r>
          </w:p>
        </w:tc>
        <w:tc>
          <w:tcPr>
            <w:tcW w:type="dxa" w:w="1260"/>
            <w:vAlign w:val="center"/>
          </w:tcPr>
          <w:p>
            <w:r>
              <w:rPr>
                <w:sz w:val="16"/>
              </w:rPr>
              <w:t>0.786</w:t>
            </w:r>
          </w:p>
        </w:tc>
      </w:tr>
      <w:tr>
        <w:tc>
          <w:tcPr>
            <w:tcW w:type="dxa" w:w="1260"/>
            <w:vAlign w:val="center"/>
          </w:tcPr>
          <w:p>
            <w:r>
              <w:rPr>
                <w:sz w:val="16"/>
              </w:rPr>
              <w:t>view_position</w:t>
            </w:r>
          </w:p>
        </w:tc>
        <w:tc>
          <w:tcPr>
            <w:tcW w:type="dxa" w:w="1260"/>
            <w:vAlign w:val="center"/>
          </w:tcPr>
          <w:p>
            <w:r>
              <w:rPr>
                <w:sz w:val="16"/>
              </w:rPr>
              <w:t>AP</w:t>
            </w:r>
          </w:p>
        </w:tc>
        <w:tc>
          <w:tcPr>
            <w:tcW w:type="dxa" w:w="1260"/>
            <w:vAlign w:val="center"/>
          </w:tcPr>
          <w:p>
            <w:r>
              <w:rPr>
                <w:sz w:val="16"/>
              </w:rPr>
              <w:t>356</w:t>
            </w:r>
          </w:p>
        </w:tc>
        <w:tc>
          <w:tcPr>
            <w:tcW w:type="dxa" w:w="1260"/>
            <w:vAlign w:val="center"/>
          </w:tcPr>
          <w:p>
            <w:r>
              <w:rPr>
                <w:sz w:val="16"/>
              </w:rPr>
              <w:t>220</w:t>
            </w:r>
          </w:p>
        </w:tc>
        <w:tc>
          <w:tcPr>
            <w:tcW w:type="dxa" w:w="1260"/>
            <w:vAlign w:val="center"/>
          </w:tcPr>
          <w:p>
            <w:r>
              <w:rPr>
                <w:sz w:val="16"/>
              </w:rPr>
              <w:t>0.652</w:t>
            </w:r>
          </w:p>
        </w:tc>
        <w:tc>
          <w:tcPr>
            <w:tcW w:type="dxa" w:w="1260"/>
            <w:vAlign w:val="center"/>
          </w:tcPr>
          <w:p>
            <w:r>
              <w:rPr>
                <w:sz w:val="16"/>
              </w:rPr>
              <w:t>0.202</w:t>
            </w:r>
          </w:p>
        </w:tc>
        <w:tc>
          <w:tcPr>
            <w:tcW w:type="dxa" w:w="1260"/>
            <w:vAlign w:val="center"/>
          </w:tcPr>
          <w:p>
            <w:r>
              <w:rPr>
                <w:sz w:val="16"/>
              </w:rPr>
              <w:t>0.229</w:t>
            </w:r>
          </w:p>
        </w:tc>
        <w:tc>
          <w:tcPr>
            <w:tcW w:type="dxa" w:w="1260"/>
            <w:vAlign w:val="center"/>
          </w:tcPr>
          <w:p>
            <w:r>
              <w:rPr>
                <w:sz w:val="16"/>
              </w:rPr>
              <w:t>0.690</w:t>
            </w:r>
          </w:p>
        </w:tc>
      </w:tr>
      <w:tr>
        <w:tc>
          <w:tcPr>
            <w:tcW w:type="dxa" w:w="1260"/>
            <w:vAlign w:val="center"/>
          </w:tcPr>
          <w:p>
            <w:r>
              <w:rPr>
                <w:sz w:val="16"/>
              </w:rPr>
              <w:t>view_position</w:t>
            </w:r>
          </w:p>
        </w:tc>
        <w:tc>
          <w:tcPr>
            <w:tcW w:type="dxa" w:w="1260"/>
            <w:vAlign w:val="center"/>
          </w:tcPr>
          <w:p>
            <w:r>
              <w:rPr>
                <w:sz w:val="16"/>
              </w:rPr>
              <w:t>PA</w:t>
            </w:r>
          </w:p>
        </w:tc>
        <w:tc>
          <w:tcPr>
            <w:tcW w:type="dxa" w:w="1260"/>
            <w:vAlign w:val="center"/>
          </w:tcPr>
          <w:p>
            <w:r>
              <w:rPr>
                <w:sz w:val="16"/>
              </w:rPr>
              <w:t>383</w:t>
            </w:r>
          </w:p>
        </w:tc>
        <w:tc>
          <w:tcPr>
            <w:tcW w:type="dxa" w:w="1260"/>
            <w:vAlign w:val="center"/>
          </w:tcPr>
          <w:p>
            <w:r>
              <w:rPr>
                <w:sz w:val="16"/>
              </w:rPr>
              <w:t>249</w:t>
            </w:r>
          </w:p>
        </w:tc>
        <w:tc>
          <w:tcPr>
            <w:tcW w:type="dxa" w:w="1260"/>
            <w:vAlign w:val="center"/>
          </w:tcPr>
          <w:p>
            <w:r>
              <w:rPr>
                <w:sz w:val="16"/>
              </w:rPr>
              <w:t>0.678</w:t>
            </w:r>
          </w:p>
        </w:tc>
        <w:tc>
          <w:tcPr>
            <w:tcW w:type="dxa" w:w="1260"/>
            <w:vAlign w:val="center"/>
          </w:tcPr>
          <w:p>
            <w:r>
              <w:rPr>
                <w:sz w:val="16"/>
              </w:rPr>
              <w:t>0.232</w:t>
            </w:r>
          </w:p>
        </w:tc>
        <w:tc>
          <w:tcPr>
            <w:tcW w:type="dxa" w:w="1260"/>
            <w:vAlign w:val="center"/>
          </w:tcPr>
          <w:p>
            <w:r>
              <w:rPr>
                <w:sz w:val="16"/>
              </w:rPr>
              <w:t>0.241</w:t>
            </w:r>
          </w:p>
        </w:tc>
        <w:tc>
          <w:tcPr>
            <w:tcW w:type="dxa" w:w="1260"/>
            <w:vAlign w:val="center"/>
          </w:tcPr>
          <w:p>
            <w:r>
              <w:rPr>
                <w:sz w:val="16"/>
              </w:rPr>
              <w:t>0.849</w:t>
            </w:r>
          </w:p>
        </w:tc>
      </w:tr>
    </w:tbl>
    <w:p>
      <w:r>
        <w:br w:type="page"/>
      </w:r>
    </w:p>
    <w:p>
      <w:pPr>
        <w:pStyle w:val="Heading2"/>
      </w:pPr>
      <w:r>
        <w:t>Figure 1. Study Workflow</w:t>
      </w:r>
    </w:p>
    <w:p>
      <w:pPr>
        <w:jc w:val="center"/>
      </w:pPr>
      <w:r>
        <w:drawing>
          <wp:inline xmlns:a="http://schemas.openxmlformats.org/drawingml/2006/main" xmlns:pic="http://schemas.openxmlformats.org/drawingml/2006/picture">
            <wp:extent cx="5943600" cy="1651000"/>
            <wp:docPr id="1" name="Picture 1"/>
            <wp:cNvGraphicFramePr>
              <a:graphicFrameLocks noChangeAspect="1"/>
            </wp:cNvGraphicFramePr>
            <a:graphic>
              <a:graphicData uri="http://schemas.openxmlformats.org/drawingml/2006/picture">
                <pic:pic>
                  <pic:nvPicPr>
                    <pic:cNvPr id="0" name="figure1_study_workflow_large.jpg"/>
                    <pic:cNvPicPr/>
                  </pic:nvPicPr>
                  <pic:blipFill>
                    <a:blip r:embed="rId9"/>
                    <a:stretch>
                      <a:fillRect/>
                    </a:stretch>
                  </pic:blipFill>
                  <pic:spPr>
                    <a:xfrm>
                      <a:off x="0" y="0"/>
                      <a:ext cx="5943600" cy="1651000"/>
                    </a:xfrm>
                    <a:prstGeom prst="rect"/>
                  </pic:spPr>
                </pic:pic>
              </a:graphicData>
            </a:graphic>
          </wp:inline>
        </w:drawing>
      </w:r>
    </w:p>
    <w:p>
      <w:pPr>
        <w:pStyle w:val="Caption"/>
      </w:pPr>
      <w:r>
        <w:t>Expanded NIH development workflow with independent VinDr-derived external validation.</w:t>
      </w:r>
    </w:p>
    <w:p>
      <w:pPr>
        <w:pStyle w:val="Heading2"/>
      </w:pPr>
      <w:r>
        <w:t>Figure 2. Internal vs External AUROC/AUPRC</w:t>
      </w:r>
    </w:p>
    <w:p>
      <w:pPr>
        <w:jc w:val="center"/>
      </w:pPr>
      <w:r>
        <w:drawing>
          <wp:inline xmlns:a="http://schemas.openxmlformats.org/drawingml/2006/main" xmlns:pic="http://schemas.openxmlformats.org/drawingml/2006/picture">
            <wp:extent cx="5943600" cy="2836718"/>
            <wp:docPr id="2" name="Picture 2"/>
            <wp:cNvGraphicFramePr>
              <a:graphicFrameLocks noChangeAspect="1"/>
            </wp:cNvGraphicFramePr>
            <a:graphic>
              <a:graphicData uri="http://schemas.openxmlformats.org/drawingml/2006/picture">
                <pic:pic>
                  <pic:nvPicPr>
                    <pic:cNvPr id="0" name="figure2_internal_vs_external_auroc_auprc_ci.jpg"/>
                    <pic:cNvPicPr/>
                  </pic:nvPicPr>
                  <pic:blipFill>
                    <a:blip r:embed="rId10"/>
                    <a:stretch>
                      <a:fillRect/>
                    </a:stretch>
                  </pic:blipFill>
                  <pic:spPr>
                    <a:xfrm>
                      <a:off x="0" y="0"/>
                      <a:ext cx="5943600" cy="2836718"/>
                    </a:xfrm>
                    <a:prstGeom prst="rect"/>
                  </pic:spPr>
                </pic:pic>
              </a:graphicData>
            </a:graphic>
          </wp:inline>
        </w:drawing>
      </w:r>
    </w:p>
    <w:p>
      <w:pPr>
        <w:pStyle w:val="Caption"/>
      </w:pPr>
      <w:r>
        <w:t>Label-wise internal and external discrimination metrics.</w:t>
      </w:r>
    </w:p>
    <w:p>
      <w:pPr>
        <w:pStyle w:val="Heading2"/>
      </w:pPr>
      <w:r>
        <w:t>Figure 3. Calibration Curves</w:t>
      </w:r>
    </w:p>
    <w:p>
      <w:pPr>
        <w:jc w:val="center"/>
      </w:pPr>
      <w:r>
        <w:drawing>
          <wp:inline xmlns:a="http://schemas.openxmlformats.org/drawingml/2006/main" xmlns:pic="http://schemas.openxmlformats.org/drawingml/2006/picture">
            <wp:extent cx="5943600" cy="2859464"/>
            <wp:docPr id="3" name="Picture 3"/>
            <wp:cNvGraphicFramePr>
              <a:graphicFrameLocks noChangeAspect="1"/>
            </wp:cNvGraphicFramePr>
            <a:graphic>
              <a:graphicData uri="http://schemas.openxmlformats.org/drawingml/2006/picture">
                <pic:pic>
                  <pic:nvPicPr>
                    <pic:cNvPr id="0" name="figure3_calibration_curves_large.jpg"/>
                    <pic:cNvPicPr/>
                  </pic:nvPicPr>
                  <pic:blipFill>
                    <a:blip r:embed="rId11"/>
                    <a:stretch>
                      <a:fillRect/>
                    </a:stretch>
                  </pic:blipFill>
                  <pic:spPr>
                    <a:xfrm>
                      <a:off x="0" y="0"/>
                      <a:ext cx="5943600" cy="2859464"/>
                    </a:xfrm>
                    <a:prstGeom prst="rect"/>
                  </pic:spPr>
                </pic:pic>
              </a:graphicData>
            </a:graphic>
          </wp:inline>
        </w:drawing>
      </w:r>
    </w:p>
    <w:p>
      <w:pPr>
        <w:pStyle w:val="Caption"/>
      </w:pPr>
      <w:r>
        <w:t>Reliability diagrams after NIH-only calibration fitting and transfer.</w:t>
      </w:r>
    </w:p>
    <w:p>
      <w:pPr>
        <w:pStyle w:val="Heading2"/>
      </w:pPr>
      <w:r>
        <w:t>Figure 4. Grad-CAM++ Failure-mode Examples</w:t>
      </w:r>
    </w:p>
    <w:p>
      <w:pPr>
        <w:jc w:val="center"/>
      </w:pPr>
      <w:r>
        <w:drawing>
          <wp:inline xmlns:a="http://schemas.openxmlformats.org/drawingml/2006/main" xmlns:pic="http://schemas.openxmlformats.org/drawingml/2006/picture">
            <wp:extent cx="5943600" cy="2600325"/>
            <wp:docPr id="4" name="Picture 4"/>
            <wp:cNvGraphicFramePr>
              <a:graphicFrameLocks noChangeAspect="1"/>
            </wp:cNvGraphicFramePr>
            <a:graphic>
              <a:graphicData uri="http://schemas.openxmlformats.org/drawingml/2006/picture">
                <pic:pic>
                  <pic:nvPicPr>
                    <pic:cNvPr id="0" name="figure4_gradcam_failure_modes_large.jpg"/>
                    <pic:cNvPicPr/>
                  </pic:nvPicPr>
                  <pic:blipFill>
                    <a:blip r:embed="rId12"/>
                    <a:stretch>
                      <a:fillRect/>
                    </a:stretch>
                  </pic:blipFill>
                  <pic:spPr>
                    <a:xfrm>
                      <a:off x="0" y="0"/>
                      <a:ext cx="5943600" cy="2600325"/>
                    </a:xfrm>
                    <a:prstGeom prst="rect"/>
                  </pic:spPr>
                </pic:pic>
              </a:graphicData>
            </a:graphic>
          </wp:inline>
        </w:drawing>
      </w:r>
    </w:p>
    <w:p>
      <w:pPr>
        <w:pStyle w:val="Caption"/>
      </w:pPr>
      <w:r>
        <w:t>Representative TP/FP/FN/TN heatmap panels.</w:t>
      </w:r>
    </w:p>
    <w:p>
      <w:pPr>
        <w:pStyle w:val="Heading2"/>
      </w:pPr>
      <w:r>
        <w:t>Figure 5. External Performance Drop by Label</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figure5_external_performance_drop_by_label.jpg"/>
                    <pic:cNvPicPr/>
                  </pic:nvPicPr>
                  <pic:blipFill>
                    <a:blip r:embed="rId13"/>
                    <a:stretch>
                      <a:fillRect/>
                    </a:stretch>
                  </pic:blipFill>
                  <pic:spPr>
                    <a:xfrm>
                      <a:off x="0" y="0"/>
                      <a:ext cx="5943600" cy="3302000"/>
                    </a:xfrm>
                    <a:prstGeom prst="rect"/>
                  </pic:spPr>
                </pic:pic>
              </a:graphicData>
            </a:graphic>
          </wp:inline>
        </w:drawing>
      </w:r>
    </w:p>
    <w:p>
      <w:pPr>
        <w:pStyle w:val="Caption"/>
      </w:pPr>
      <w:r>
        <w:t>Internal minus external AUROC; negative values indicate higher AUROC in the external subset.</w:t>
      </w:r>
    </w:p>
    <w:p>
      <w:pPr>
        <w:pStyle w:val="Heading2"/>
      </w:pPr>
      <w:r>
        <w:t>Supplementary Figure. Original Small Public-subset Result</w:t>
      </w:r>
    </w:p>
    <w:p>
      <w:pPr>
        <w:jc w:val="center"/>
      </w:pPr>
      <w:r>
        <w:drawing>
          <wp:inline xmlns:a="http://schemas.openxmlformats.org/drawingml/2006/main" xmlns:pic="http://schemas.openxmlformats.org/drawingml/2006/picture">
            <wp:extent cx="5943600" cy="2823210"/>
            <wp:docPr id="6" name="Picture 6"/>
            <wp:cNvGraphicFramePr>
              <a:graphicFrameLocks noChangeAspect="1"/>
            </wp:cNvGraphicFramePr>
            <a:graphic>
              <a:graphicData uri="http://schemas.openxmlformats.org/drawingml/2006/picture">
                <pic:pic>
                  <pic:nvPicPr>
                    <pic:cNvPr id="0" name="supplementary_figure_original_small_subset.jpg"/>
                    <pic:cNvPicPr/>
                  </pic:nvPicPr>
                  <pic:blipFill>
                    <a:blip r:embed="rId14"/>
                    <a:stretch>
                      <a:fillRect/>
                    </a:stretch>
                  </pic:blipFill>
                  <pic:spPr>
                    <a:xfrm>
                      <a:off x="0" y="0"/>
                      <a:ext cx="5943600" cy="2823210"/>
                    </a:xfrm>
                    <a:prstGeom prst="rect"/>
                  </pic:spPr>
                </pic:pic>
              </a:graphicData>
            </a:graphic>
          </wp:inline>
        </w:drawing>
      </w:r>
    </w:p>
    <w:p>
      <w:pPr>
        <w:pStyle w:val="Caption"/>
      </w:pPr>
      <w:r>
        <w:t>Small public-subset result retained as supplementary pipeline history.</w:t>
      </w:r>
    </w:p>
    <w:p>
      <w:pPr>
        <w:pStyle w:val="Heading1"/>
      </w:pPr>
      <w:r>
        <w:t>Reviewer-risk Audit</w:t>
      </w:r>
    </w:p>
    <w:p>
      <w:pPr>
        <w:pStyle w:val="ListBullet"/>
      </w:pPr>
      <w:r>
        <w:t>Subset rather than full official release: still present; mitigated by explicitly describing public executable subsets.</w:t>
      </w:r>
    </w:p>
    <w:p>
      <w:pPr>
        <w:pStyle w:val="ListBullet"/>
      </w:pPr>
      <w:r>
        <w:t>Limited sample size: improved from 1229/494 to 5000/1000 images, but still not full cohort.</w:t>
      </w:r>
    </w:p>
    <w:p>
      <w:pPr>
        <w:pStyle w:val="ListBullet"/>
      </w:pPr>
      <w:r>
        <w:t>Incomplete VinDr labels for Edema or Pneumonia: still present; these labels are excluded from external primary claims.</w:t>
      </w:r>
    </w:p>
    <w:p>
      <w:pPr>
        <w:pStyle w:val="ListBullet"/>
      </w:pPr>
      <w:r>
        <w:t>Weak NIH report-mined labels: still present; discussed as label-noise limitation.</w:t>
      </w:r>
    </w:p>
    <w:p>
      <w:pPr>
        <w:pStyle w:val="ListBullet"/>
      </w:pPr>
      <w:r>
        <w:t>Class imbalance: still present; handled with positive class weights and prevalence reporting.</w:t>
      </w:r>
    </w:p>
    <w:p>
      <w:pPr>
        <w:pStyle w:val="ListBullet"/>
      </w:pPr>
      <w:r>
        <w:t>Confidence intervals: addressed with patient-level bootstrap CI.</w:t>
      </w:r>
    </w:p>
    <w:p>
      <w:pPr>
        <w:pStyle w:val="ListBullet"/>
      </w:pPr>
      <w:r>
        <w:t>Calibration overclaiming: mitigated by reporting Brier, ECE, MCE, slope, intercept, and caution about unstable post-hoc calibration.</w:t>
      </w:r>
    </w:p>
    <w:p>
      <w:pPr>
        <w:pStyle w:val="ListBullet"/>
      </w:pPr>
      <w:r>
        <w:t>Grad-CAM overinterpretation: mitigated by explicitly limiting Grad-CAM++ to failure-mode analysis.</w:t>
      </w:r>
    </w:p>
    <w:p>
      <w:pPr>
        <w:pStyle w:val="Heading1"/>
      </w:pPr>
      <w:r>
        <w:t>Re-run Commands</w:t>
      </w:r>
    </w:p>
    <w:p>
      <w:pPr>
        <w:pStyle w:val="IntenseQuote"/>
      </w:pPr>
      <w:r>
        <w:t>.\.venv\Scripts\python.exe scripts\prepare_hf_large.py --nih-max-images 5000 --nih-train-shards 5 --vindr-target-images 1000 --epochs 5</w:t>
      </w:r>
    </w:p>
    <w:p>
      <w:pPr>
        <w:pStyle w:val="IntenseQuote"/>
      </w:pPr>
      <w:r>
        <w:t>.\.venv\Scripts\python.exe scripts\train.py --config configs\hf_large.yaml</w:t>
      </w:r>
    </w:p>
    <w:p>
      <w:pPr>
        <w:pStyle w:val="IntenseQuote"/>
      </w:pPr>
      <w:r>
        <w:t>.\.venv\Scripts\python.exe scripts\evaluate_internal.py --config configs\hf_large.yaml</w:t>
      </w:r>
    </w:p>
    <w:p>
      <w:pPr>
        <w:pStyle w:val="IntenseQuote"/>
      </w:pPr>
      <w:r>
        <w:t>.\.venv\Scripts\python.exe scripts\evaluate_external.py --config configs\hf_large.yaml</w:t>
      </w:r>
    </w:p>
    <w:p>
      <w:pPr>
        <w:pStyle w:val="IntenseQuote"/>
      </w:pPr>
      <w:r>
        <w:t>.\.venv\Scripts\python.exe scripts\calibration.py --config configs\hf_large.yaml</w:t>
      </w:r>
    </w:p>
    <w:p>
      <w:pPr>
        <w:pStyle w:val="IntenseQuote"/>
      </w:pPr>
      <w:r>
        <w:t>.\.venv\Scripts\python.exe scripts\gradcam.py --config configs\hf_large.yaml --max-cases-per-label 1</w:t>
      </w:r>
    </w:p>
    <w:p>
      <w:pPr>
        <w:pStyle w:val="IntenseQuote"/>
      </w:pPr>
      <w:r>
        <w:t>.\.venv\Scripts\python.exe scripts\make_resnet50_config.py</w:t>
      </w:r>
    </w:p>
    <w:p>
      <w:pPr>
        <w:pStyle w:val="IntenseQuote"/>
      </w:pPr>
      <w:r>
        <w:t>.\.venv\Scripts\python.exe scripts\train.py --config configs\hf_large_resnet50.yaml</w:t>
      </w:r>
    </w:p>
    <w:p>
      <w:pPr>
        <w:pStyle w:val="IntenseQuote"/>
      </w:pPr>
      <w:r>
        <w:t>.\.venv\Scripts\python.exe scripts\evaluate_internal.py --config configs\hf_large_resnet50.yaml</w:t>
      </w:r>
    </w:p>
    <w:p>
      <w:pPr>
        <w:pStyle w:val="IntenseQuote"/>
      </w:pPr>
      <w:r>
        <w:t>.\.venv\Scripts\python.exe scripts\evaluate_external.py --config configs\hf_large_resnet50.yaml</w:t>
      </w:r>
    </w:p>
    <w:p>
      <w:pPr>
        <w:pStyle w:val="IntenseQuote"/>
      </w:pPr>
      <w:r>
        <w:t>.\.venv\Scripts\python.exe scripts\calibration.py --config configs\hf_large_resnet50.yaml</w:t>
      </w:r>
    </w:p>
    <w:p>
      <w:pPr>
        <w:pStyle w:val="IntenseQuote"/>
      </w:pPr>
      <w:r>
        <w:t>.\.venv\Scripts\python.exe scripts\gradcam.py --config configs\hf_large_resnet50.yaml --max-cases-per-label 1</w:t>
      </w:r>
    </w:p>
    <w:p>
      <w:pPr>
        <w:pStyle w:val="IntenseQuote"/>
      </w:pPr>
      <w:r>
        <w:t>.\.venv\Scripts\python.exe scripts\make_efficientnet_b0_config.py</w:t>
      </w:r>
    </w:p>
    <w:p>
      <w:pPr>
        <w:pStyle w:val="IntenseQuote"/>
      </w:pPr>
      <w:r>
        <w:t>.\.venv\Scripts\python.exe scripts\train.py --config configs\hf_large_efficientnet_b0.yaml</w:t>
      </w:r>
    </w:p>
    <w:p>
      <w:pPr>
        <w:pStyle w:val="IntenseQuote"/>
      </w:pPr>
      <w:r>
        <w:t>.\.venv\Scripts\python.exe scripts\evaluate_internal.py --config configs\hf_large_efficientnet_b0.yaml</w:t>
      </w:r>
    </w:p>
    <w:p>
      <w:pPr>
        <w:pStyle w:val="IntenseQuote"/>
      </w:pPr>
      <w:r>
        <w:t>.\.venv\Scripts\python.exe scripts\evaluate_external.py --config configs\hf_large_efficientnet_b0.yaml</w:t>
      </w:r>
    </w:p>
    <w:p>
      <w:pPr>
        <w:pStyle w:val="IntenseQuote"/>
      </w:pPr>
      <w:r>
        <w:t>.\.venv\Scripts\python.exe scripts\calibration.py --config configs\hf_large_efficientnet_b0.yaml</w:t>
      </w:r>
    </w:p>
    <w:p>
      <w:pPr>
        <w:pStyle w:val="IntenseQuote"/>
      </w:pPr>
      <w:r>
        <w:t>.\.venv\Scripts\python.exe scripts\gradcam.py --config configs\hf_large_efficientnet_b0.yaml --max-cases-per-label 1</w:t>
      </w:r>
    </w:p>
    <w:p>
      <w:pPr>
        <w:pStyle w:val="IntenseQuote"/>
      </w:pPr>
      <w:r>
        <w:t>.\.venv\Scripts\python.exe scripts\build_large_assets.py</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