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Generalizability, Calibration, and Explainability of Deep Learning Models for Chest X-ray Diagnosis Using Public Datasets</w:t>
      </w:r>
    </w:p>
    <w:p>
      <w:r>
        <w:t>Short title: NIH ChestX-ray14 to VinDr-CXR public-subset validation</w:t>
      </w:r>
    </w:p>
    <w:p>
      <w:r>
        <w:t>Study type: retrospective public-dataset machine-learning validation study</w:t>
      </w:r>
    </w:p>
    <w:p>
      <w:pPr>
        <w:pStyle w:val="Heading1"/>
      </w:pPr>
      <w:r>
        <w:t>Abstract</w:t>
      </w:r>
    </w:p>
    <w:p>
      <w:r>
        <w:t>Background: Chest radiograph classifiers often show dataset-dependent behavior, and discrimination alone is insufficient for evaluating clinical translation. This study examined cross-dataset generalizability, probability calibration, and failure-mode saliency for public chest radiograph diagnosis.</w:t>
      </w:r>
    </w:p>
    <w:p>
      <w:r>
        <w:t>Methods: A reproducible PyTorch pipeline was built using an executable public NIH ChestX-ray14 subset as the development dataset and a VinDr-CXR/VinBigData-derived public PNG subset as independent external validation. The NIH subset contained 5000 images from 3795 patients and was split at patient level into training, validation, calibration, and internal-test partitions. The external subset contained 1000 images. DenseNet121 was prespecified as the main model; ResNet50 and EfficientNet-B0 were trained as architecture comparators. Thresholds were selected only on the NIH validation split, and calibration models were fitted only on the NIH calibration split.</w:t>
      </w:r>
    </w:p>
    <w:p>
      <w:r>
        <w:t>Results: DenseNet121 achieved internal macro AUROC/AUPRC of 0.680/0.214 and external macro AUROC/AUPRC of 0.743/0.434. Architecture-comparator results were: ResNet50 internal macro AUROC/AUPRC 0.647/0.200 and external macro AUROC/AUPRC 0.728/0.418; EfficientNet-B0 internal macro AUROC/AUPRC 0.656/0.218 and external macro AUROC/AUPRC 0.656/0.370. DenseNet121 internal uncalibrated macro Brier score, ECE, and MCE were 0.193, 0.269, and 0.539, respectively. Grad-CAM++ generated 60 TP/FP/FN/TN examples for failure-mode review.</w:t>
      </w:r>
    </w:p>
    <w:p>
      <w:r>
        <w:t>Conclusions: The experiment provides a reproducible public-dataset validation package for examining discrimination, calibration, and saliency behavior under dataset shift. The findings support cautious model-comparison and calibration-transfer reporting, but they do not establish clinical readiness or full-cohort performance.</w:t>
      </w:r>
    </w:p>
    <w:p>
      <w:r>
        <w:t>Keywords: chest radiography; external validation; calibration; Grad-CAM; NIH ChestX-ray14; VinDr-CXR; DenseNet; ResNet</w:t>
      </w:r>
    </w:p>
    <w:p>
      <w:pPr>
        <w:pStyle w:val="Heading1"/>
      </w:pPr>
      <w:r>
        <w:t>Introduction</w:t>
      </w:r>
    </w:p>
    <w:p>
      <w:r>
        <w:t>Deep-learning systems for chest radiograph classification can achieve useful discrimination within a development dataset, but performance may change when applied to images from different institutions, labeling processes, or acquisition pipelines. For public chest radiograph benchmarks such as NIH ChestX-ray14 and VinDr-CXR, this problem is particularly relevant because labels may be derived from reports in one dataset and from radiologist annotations in another [1,2].</w:t>
      </w:r>
    </w:p>
    <w:p>
      <w:r>
        <w:t>External validation is therefore central to evaluating whether a model has learned disease-relevant patterns or dataset-specific correlates. Calibration adds a second requirement: a model with acceptable ranking performance may still produce probabilities that are poorly aligned with observed frequencies. Explainability methods such as Grad-CAM can help inspect failure modes, but saliency maps should not be interpreted as proof of clinical reasoning.</w:t>
      </w:r>
    </w:p>
    <w:p>
      <w:r>
        <w:t>This study developed an end-to-end, reproducible public-dataset pipeline to evaluate generalizability, calibration, and Grad-CAM++ failure modes for multi-label chest radiograph classification. DenseNet121 was used as the prespecified main model, with ResNet50 and EfficientNet-B0 as comparators after the main analysis was operational.</w:t>
      </w:r>
    </w:p>
    <w:p>
      <w:pPr>
        <w:pStyle w:val="Heading1"/>
      </w:pPr>
      <w:r>
        <w:t>Methods</w:t>
      </w:r>
    </w:p>
    <w:p>
      <w:r>
        <w:t>The development dataset was an NIH ChestX-ray14 public parquet subset extracted to PNG images [1]. The final development metadata contained 5000 images from 3795 patients. The independent external validation dataset was a public VinDr-CXR/VinBigData-derived PNG subset containing 1000 images with image-level patient identifiers [2].</w:t>
      </w:r>
    </w:p>
    <w:p>
      <w:r>
        <w:t>The target labels were Atelectasis, Cardiomegaly, Pleural Effusion, Pneumothorax, Consolidation, Edema, Pneumonia, and No Finding. Edema and Pneumonia were retained for internal sensitivity analyses, but external primary claims were restricted when VinDr-derived labels were unavailable or had zero positive prevalence.</w:t>
      </w:r>
    </w:p>
    <w:p>
      <w:r>
        <w:t>NIH data were split at patient level into training, validation, calibration, and internal-test splits. The validation split was used for threshold selection and model selection. The calibration split was used for temperature scaling, Platt scaling, and isotonic regression. The internal-test split and external VinDr-derived subset were not used for training, threshold tuning, or calibration fitting.</w:t>
      </w:r>
    </w:p>
    <w:p>
      <w:r>
        <w:t>Images were resized to 224 x 224 pixels and normalized with ImageNet statistics. The training pipeline used BCEWithLogitsLoss with positive class weights, AdamW optimization, mixed precision on CUDA, and validation macro AUPRC for checkpoint selection. DenseNet121 was the main model; ResNet50 and EfficientNet-B0 were trained under the same split and evaluation rules as architecture comparators [3,4,7].</w:t>
      </w:r>
    </w:p>
    <w:p>
      <w:r>
        <w:t>Evaluation metrics included AUROC, AUPRC, sensitivity, specificity, F1-score, accuracy, positive predictive value, and negative predictive value, with macro and micro averages. Patient-level bootstrap resampling was used to estimate 95% confidence intervals. Calibration was assessed using Brier score, expected calibration error, maximum calibration error, calibration slope, and calibration intercept [5]. Grad-CAM++ was used only for qualitative failure-mode analysis [6].</w:t>
      </w:r>
    </w:p>
    <w:p>
      <w:pPr>
        <w:pStyle w:val="Heading1"/>
      </w:pPr>
      <w:r>
        <w:t>Results</w:t>
      </w:r>
    </w:p>
    <w:p>
      <w:r>
        <w:t>The NIH patient-level split produced 2679 training images, 831 validation images, 751 calibration images, and 739 internal-test images. No patient overlap was detected among NIH splits.</w:t>
      </w:r>
    </w:p>
    <w:p>
      <w:r>
        <w:t>DenseNet121 internal macro AUROC/AUPRC were 0.680/0.214; external macro AUROC/AUPRC were 0.743/0.434. The internal-minus-external macro AUROC difference was -0.062, indicating no observed AUROC degradation in this selected external subset.</w:t>
      </w:r>
    </w:p>
    <w:p>
      <w:r>
        <w:t>Architecture comparators produced the following macro discrimination results: ResNet50 internal macro AUROC/AUPRC 0.647/0.200 and external macro AUROC/AUPRC 0.728/0.418; EfficientNet-B0 internal macro AUROC/AUPRC 0.656/0.218 and external macro AUROC/AUPRC 0.656/0.370.</w:t>
      </w:r>
    </w:p>
    <w:p>
      <w:r>
        <w:t>Before calibration, DenseNet121 internal macro Brier score was 0.193, ECE was 0.269, and MCE was 0.539. Temperature scaling yielded internal macro ECE 0.280 and external macro ECE 0.214. Calibration findings were interpreted with slope and intercept because bin-wise ECE alone can be misleading for sparse labels.</w:t>
      </w:r>
    </w:p>
    <w:p>
      <w:r>
        <w:t>Grad-CAM++ panels were generated for 60 true-positive, false-positive, false-negative, and true-negative cases across internal and external validation. The panels were used to review failure modes rather than to assert clinically valid causal reasoning.</w:t>
      </w:r>
    </w:p>
    <w:p>
      <w:pPr>
        <w:pStyle w:val="Heading1"/>
      </w:pPr>
      <w:r>
        <w:t>Discussion</w:t>
      </w:r>
    </w:p>
    <w:p>
      <w:r>
        <w:t>This public-dataset experiment demonstrates a complete and auditable workflow for assessing discrimination, calibration, and saliency behavior in chest radiograph classification. The external subset showed higher macro AUPRC than the internal NIH test set, which should not be interpreted as superior generalization in a universal sense; it likely reflects differences in case mix, prevalence, label definitions, and selected public-file availability.</w:t>
      </w:r>
    </w:p>
    <w:p>
      <w:r>
        <w:t>Calibration results were mixed. Temperature scaling, Platt scaling, and isotonic regression were fitted only on the NIH calibration split and then transferred to internal and external test data. Improvements in ECE for some methods must be weighed against slope and intercept instability, particularly for labels with low prevalence or compressed probability ranges.</w:t>
      </w:r>
    </w:p>
    <w:p>
      <w:r>
        <w:t>The architecture comparators supported the main-model interpretation by showing the same broad pattern of external transfer in this selected public subset, but DenseNet121 remained the prespecified model. This design reduces single-architecture dependence without changing the main analysis after observing external performance.</w:t>
      </w:r>
    </w:p>
    <w:p>
      <w:r>
        <w:t>Grad-CAM++ visualizations were informative for inspecting apparent focus patterns in false positives and false negatives, but such heatmaps are coarse, model-dependent, and sensitive to preprocessing. They should be treated as exploratory failure-mode artifacts, not as evidence that the model used the same reasoning as a radiologist.</w:t>
      </w:r>
    </w:p>
    <w:p>
      <w:pPr>
        <w:pStyle w:val="Heading1"/>
      </w:pPr>
      <w:r>
        <w:t>Limitations</w:t>
      </w:r>
    </w:p>
    <w:p>
      <w:r>
        <w:t>This is an executable public-subset analysis, not a full official-cohort analysis of all NIH ChestX-ray14 and VinDr-CXR images. The external data were derived from available public PNG files, and label availability differed by dataset.</w:t>
      </w:r>
    </w:p>
    <w:p>
      <w:r>
        <w:t>NIH ChestX-ray14 labels are report-mined weak labels, whereas VinDr-CXR annotations are radiologist-derived. This label-source heterogeneity can affect both discrimination and calibration estimates.</w:t>
      </w:r>
    </w:p>
    <w:p>
      <w:r>
        <w:t>Edema and Pneumonia had no positive cases in the external metadata used here and should not support external primary claims. These labels are retained only to preserve the internal sensitivity-label workflow.</w:t>
      </w:r>
    </w:p>
    <w:p>
      <w:r>
        <w:t>The models used 224 x 224 images and short training schedules suitable for a reproducible public experiment. Results should not be presented as the ceiling performance of these architectures.</w:t>
      </w:r>
    </w:p>
    <w:p>
      <w:pPr>
        <w:pStyle w:val="Heading1"/>
      </w:pPr>
      <w:r>
        <w:t>Conclusion</w:t>
      </w:r>
    </w:p>
    <w:p>
      <w:r>
        <w:t>A reproducible NIH ChestX-ray14 to VinDr-CXR public-subset pipeline was completed for multi-label chest radiograph classification. DenseNet121, ResNet50, and EfficientNet-B0 were evaluated with validation-derived thresholds, patient-level bootstrap confidence intervals, NIH-only calibration fitting, and Grad-CAM++ failure-mode review. The study supports transparent public-dataset reporting of generalizability and calibration, while avoiding clinical-readiness claims.</w:t>
      </w:r>
    </w:p>
    <w:p>
      <w:pPr>
        <w:pStyle w:val="Heading1"/>
      </w:pPr>
      <w:r>
        <w:t>Data and Code Availability</w:t>
      </w:r>
    </w:p>
    <w:p>
      <w:r>
        <w:t>All generated metadata, split files, prediction CSVs, metric tables, figures, logs, configuration files, and model checkpoints are packaged in reproducibility_package_hf_large.zip. The package also contains the random seed, GPU/environment reports, and rerun commands. The source data are public NIH ChestX-ray14 and VinDr-CXR/VinBigData-derived public files; users should follow the original dataset license and citation requirements.</w:t>
      </w:r>
    </w:p>
    <w:p>
      <w:pPr>
        <w:pStyle w:val="Heading1"/>
      </w:pPr>
      <w:r>
        <w:t>Ethics Statement</w:t>
      </w:r>
    </w:p>
    <w:p>
      <w:r>
        <w:t>This analysis used de-identified public datasets and did not involve new patient recruitment or direct patient contact. Any institutional submission should confirm whether local review-board exemption or waiver documentation is required.</w:t>
      </w:r>
    </w:p>
    <w:p>
      <w:pPr>
        <w:pStyle w:val="Heading1"/>
      </w:pPr>
      <w:r>
        <w:t>Tables</w:t>
      </w:r>
    </w:p>
    <w:p>
      <w:pPr>
        <w:pStyle w:val="Heading2"/>
      </w:pPr>
      <w:r>
        <w:t>Table 1. Dataset Characteristics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6"/>
              </w:rPr>
              <w:t>split</w:t>
            </w:r>
          </w:p>
        </w:tc>
        <w:tc>
          <w:tcPr>
            <w:tcW w:type="dxa" w:w="3360"/>
            <w:vAlign w:val="center"/>
            <w:shd w:fill="D9EAF7"/>
          </w:tcPr>
          <w:p>
            <w:r>
              <w:rPr>
                <w:b/>
                <w:sz w:val="16"/>
              </w:rPr>
              <w:t>n_patients</w:t>
            </w:r>
          </w:p>
        </w:tc>
        <w:tc>
          <w:tcPr>
            <w:tcW w:type="dxa" w:w="3360"/>
            <w:vAlign w:val="center"/>
            <w:shd w:fill="D9EAF7"/>
          </w:tcPr>
          <w:p>
            <w:r>
              <w:rPr>
                <w:b/>
                <w:sz w:val="16"/>
              </w:rPr>
              <w:t>n_images</w:t>
            </w:r>
          </w:p>
        </w:tc>
      </w:tr>
      <w:tr>
        <w:tc>
          <w:tcPr>
            <w:tcW w:type="dxa" w:w="3360"/>
            <w:vAlign w:val="center"/>
          </w:tcPr>
          <w:p>
            <w:r>
              <w:rPr>
                <w:sz w:val="16"/>
              </w:rPr>
              <w:t>calibration</w:t>
            </w:r>
          </w:p>
        </w:tc>
        <w:tc>
          <w:tcPr>
            <w:tcW w:type="dxa" w:w="3360"/>
            <w:vAlign w:val="center"/>
          </w:tcPr>
          <w:p>
            <w:r>
              <w:rPr>
                <w:sz w:val="16"/>
              </w:rPr>
              <w:t>379</w:t>
            </w:r>
          </w:p>
        </w:tc>
        <w:tc>
          <w:tcPr>
            <w:tcW w:type="dxa" w:w="3360"/>
            <w:vAlign w:val="center"/>
          </w:tcPr>
          <w:p>
            <w:r>
              <w:rPr>
                <w:sz w:val="16"/>
              </w:rPr>
              <w:t>751</w:t>
            </w:r>
          </w:p>
        </w:tc>
      </w:tr>
      <w:tr>
        <w:tc>
          <w:tcPr>
            <w:tcW w:type="dxa" w:w="3360"/>
            <w:vAlign w:val="center"/>
          </w:tcPr>
          <w:p>
            <w:r>
              <w:rPr>
                <w:sz w:val="16"/>
              </w:rPr>
              <w:t>internal_test</w:t>
            </w:r>
          </w:p>
        </w:tc>
        <w:tc>
          <w:tcPr>
            <w:tcW w:type="dxa" w:w="3360"/>
            <w:vAlign w:val="center"/>
          </w:tcPr>
          <w:p>
            <w:r>
              <w:rPr>
                <w:sz w:val="16"/>
              </w:rPr>
              <w:t>379</w:t>
            </w:r>
          </w:p>
        </w:tc>
        <w:tc>
          <w:tcPr>
            <w:tcW w:type="dxa" w:w="3360"/>
            <w:vAlign w:val="center"/>
          </w:tcPr>
          <w:p>
            <w:r>
              <w:rPr>
                <w:sz w:val="16"/>
              </w:rPr>
              <w:t>739</w:t>
            </w:r>
          </w:p>
        </w:tc>
      </w:tr>
      <w:tr>
        <w:tc>
          <w:tcPr>
            <w:tcW w:type="dxa" w:w="3360"/>
            <w:vAlign w:val="center"/>
          </w:tcPr>
          <w:p>
            <w:r>
              <w:rPr>
                <w:sz w:val="16"/>
              </w:rPr>
              <w:t>train</w:t>
            </w:r>
          </w:p>
        </w:tc>
        <w:tc>
          <w:tcPr>
            <w:tcW w:type="dxa" w:w="3360"/>
            <w:vAlign w:val="center"/>
          </w:tcPr>
          <w:p>
            <w:r>
              <w:rPr>
                <w:sz w:val="16"/>
              </w:rPr>
              <w:t>2657</w:t>
            </w:r>
          </w:p>
        </w:tc>
        <w:tc>
          <w:tcPr>
            <w:tcW w:type="dxa" w:w="3360"/>
            <w:vAlign w:val="center"/>
          </w:tcPr>
          <w:p>
            <w:r>
              <w:rPr>
                <w:sz w:val="16"/>
              </w:rPr>
              <w:t>2679</w:t>
            </w:r>
          </w:p>
        </w:tc>
      </w:tr>
      <w:tr>
        <w:tc>
          <w:tcPr>
            <w:tcW w:type="dxa" w:w="3360"/>
            <w:vAlign w:val="center"/>
          </w:tcPr>
          <w:p>
            <w:r>
              <w:rPr>
                <w:sz w:val="16"/>
              </w:rPr>
              <w:t>validation</w:t>
            </w:r>
          </w:p>
        </w:tc>
        <w:tc>
          <w:tcPr>
            <w:tcW w:type="dxa" w:w="3360"/>
            <w:vAlign w:val="center"/>
          </w:tcPr>
          <w:p>
            <w:r>
              <w:rPr>
                <w:sz w:val="16"/>
              </w:rPr>
              <w:t>380</w:t>
            </w:r>
          </w:p>
        </w:tc>
        <w:tc>
          <w:tcPr>
            <w:tcW w:type="dxa" w:w="3360"/>
            <w:vAlign w:val="center"/>
          </w:tcPr>
          <w:p>
            <w:r>
              <w:rPr>
                <w:sz w:val="16"/>
              </w:rPr>
              <w:t>831</w:t>
            </w:r>
          </w:p>
        </w:tc>
      </w:tr>
      <w:tr>
        <w:tc>
          <w:tcPr>
            <w:tcW w:type="dxa" w:w="3360"/>
            <w:vAlign w:val="center"/>
          </w:tcPr>
          <w:p>
            <w:r>
              <w:rPr>
                <w:sz w:val="16"/>
              </w:rPr>
              <w:t>VinDr-derived external</w:t>
            </w:r>
          </w:p>
        </w:tc>
        <w:tc>
          <w:tcPr>
            <w:tcW w:type="dxa" w:w="3360"/>
            <w:vAlign w:val="center"/>
          </w:tcPr>
          <w:p>
            <w:r>
              <w:rPr>
                <w:sz w:val="16"/>
              </w:rPr>
              <w:t>1000</w:t>
            </w:r>
          </w:p>
        </w:tc>
        <w:tc>
          <w:tcPr>
            <w:tcW w:type="dxa" w:w="3360"/>
            <w:vAlign w:val="center"/>
          </w:tcPr>
          <w:p>
            <w:r>
              <w:rPr>
                <w:sz w:val="16"/>
              </w:rPr>
              <w:t>1000</w:t>
            </w:r>
          </w:p>
        </w:tc>
      </w:tr>
    </w:tbl>
    <w:p>
      <w:pPr>
        <w:pStyle w:val="Heading2"/>
      </w:pPr>
      <w:r>
        <w:t>Table 2. Label Harmonization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sz w:val="16"/>
              </w:rPr>
              <w:t>harmonized_label</w:t>
            </w:r>
          </w:p>
        </w:tc>
        <w:tc>
          <w:tcPr>
            <w:tcW w:type="dxa" w:w="2520"/>
            <w:vAlign w:val="center"/>
            <w:shd w:fill="D9EAF7"/>
          </w:tcPr>
          <w:p>
            <w:r>
              <w:rPr>
                <w:b/>
                <w:sz w:val="16"/>
              </w:rPr>
              <w:t>nih_terms</w:t>
            </w:r>
          </w:p>
        </w:tc>
        <w:tc>
          <w:tcPr>
            <w:tcW w:type="dxa" w:w="2520"/>
            <w:vAlign w:val="center"/>
            <w:shd w:fill="D9EAF7"/>
          </w:tcPr>
          <w:p>
            <w:r>
              <w:rPr>
                <w:b/>
                <w:sz w:val="16"/>
              </w:rPr>
              <w:t>vindr_terms</w:t>
            </w:r>
          </w:p>
        </w:tc>
        <w:tc>
          <w:tcPr>
            <w:tcW w:type="dxa" w:w="2520"/>
            <w:vAlign w:val="center"/>
            <w:shd w:fill="D9EAF7"/>
          </w:tcPr>
          <w:p>
            <w:r>
              <w:rPr>
                <w:b/>
                <w:sz w:val="16"/>
              </w:rPr>
              <w:t>role</w:t>
            </w:r>
          </w:p>
        </w:tc>
      </w:tr>
      <w:tr>
        <w:tc>
          <w:tcPr>
            <w:tcW w:type="dxa" w:w="2520"/>
            <w:vAlign w:val="center"/>
          </w:tcPr>
          <w:p>
            <w:r>
              <w:rPr>
                <w:sz w:val="16"/>
              </w:rPr>
              <w:t>Atelectasis</w:t>
            </w:r>
          </w:p>
        </w:tc>
        <w:tc>
          <w:tcPr>
            <w:tcW w:type="dxa" w:w="2520"/>
            <w:vAlign w:val="center"/>
          </w:tcPr>
          <w:p>
            <w:r>
              <w:rPr>
                <w:sz w:val="16"/>
              </w:rPr>
              <w:t>Atelectasis</w:t>
            </w:r>
          </w:p>
        </w:tc>
        <w:tc>
          <w:tcPr>
            <w:tcW w:type="dxa" w:w="2520"/>
            <w:vAlign w:val="center"/>
          </w:tcPr>
          <w:p>
            <w:r>
              <w:rPr>
                <w:sz w:val="16"/>
              </w:rPr>
              <w:t>Atelectasis</w:t>
            </w:r>
          </w:p>
        </w:tc>
        <w:tc>
          <w:tcPr>
            <w:tcW w:type="dxa" w:w="2520"/>
            <w:vAlign w:val="center"/>
          </w:tcPr>
          <w:p>
            <w:r>
              <w:rPr>
                <w:sz w:val="16"/>
              </w:rPr>
              <w:t>primary</w:t>
            </w:r>
          </w:p>
        </w:tc>
      </w:tr>
      <w:tr>
        <w:tc>
          <w:tcPr>
            <w:tcW w:type="dxa" w:w="2520"/>
            <w:vAlign w:val="center"/>
          </w:tcPr>
          <w:p>
            <w:r>
              <w:rPr>
                <w:sz w:val="16"/>
              </w:rPr>
              <w:t>Cardiomegaly</w:t>
            </w:r>
          </w:p>
        </w:tc>
        <w:tc>
          <w:tcPr>
            <w:tcW w:type="dxa" w:w="2520"/>
            <w:vAlign w:val="center"/>
          </w:tcPr>
          <w:p>
            <w:r>
              <w:rPr>
                <w:sz w:val="16"/>
              </w:rPr>
              <w:t>Cardiomegaly</w:t>
            </w:r>
          </w:p>
        </w:tc>
        <w:tc>
          <w:tcPr>
            <w:tcW w:type="dxa" w:w="2520"/>
            <w:vAlign w:val="center"/>
          </w:tcPr>
          <w:p>
            <w:r>
              <w:rPr>
                <w:sz w:val="16"/>
              </w:rPr>
              <w:t>Cardiomegaly</w:t>
            </w:r>
          </w:p>
        </w:tc>
        <w:tc>
          <w:tcPr>
            <w:tcW w:type="dxa" w:w="2520"/>
            <w:vAlign w:val="center"/>
          </w:tcPr>
          <w:p>
            <w:r>
              <w:rPr>
                <w:sz w:val="16"/>
              </w:rPr>
              <w:t>primary</w:t>
            </w:r>
          </w:p>
        </w:tc>
      </w:tr>
      <w:tr>
        <w:tc>
          <w:tcPr>
            <w:tcW w:type="dxa" w:w="2520"/>
            <w:vAlign w:val="center"/>
          </w:tcPr>
          <w:p>
            <w:r>
              <w:rPr>
                <w:sz w:val="16"/>
              </w:rPr>
              <w:t>Pleural Effusion</w:t>
            </w:r>
          </w:p>
        </w:tc>
        <w:tc>
          <w:tcPr>
            <w:tcW w:type="dxa" w:w="2520"/>
            <w:vAlign w:val="center"/>
          </w:tcPr>
          <w:p>
            <w:r>
              <w:rPr>
                <w:sz w:val="16"/>
              </w:rPr>
              <w:t>Effusion; Pleural Effusion</w:t>
            </w:r>
          </w:p>
        </w:tc>
        <w:tc>
          <w:tcPr>
            <w:tcW w:type="dxa" w:w="2520"/>
            <w:vAlign w:val="center"/>
          </w:tcPr>
          <w:p>
            <w:r>
              <w:rPr>
                <w:sz w:val="16"/>
              </w:rPr>
              <w:t>Pleural effusion; Pleural Effusion; Effusion</w:t>
            </w:r>
          </w:p>
        </w:tc>
        <w:tc>
          <w:tcPr>
            <w:tcW w:type="dxa" w:w="2520"/>
            <w:vAlign w:val="center"/>
          </w:tcPr>
          <w:p>
            <w:r>
              <w:rPr>
                <w:sz w:val="16"/>
              </w:rPr>
              <w:t>primary</w:t>
            </w:r>
          </w:p>
        </w:tc>
      </w:tr>
      <w:tr>
        <w:tc>
          <w:tcPr>
            <w:tcW w:type="dxa" w:w="2520"/>
            <w:vAlign w:val="center"/>
          </w:tcPr>
          <w:p>
            <w:r>
              <w:rPr>
                <w:sz w:val="16"/>
              </w:rPr>
              <w:t>Pneumothorax</w:t>
            </w:r>
          </w:p>
        </w:tc>
        <w:tc>
          <w:tcPr>
            <w:tcW w:type="dxa" w:w="2520"/>
            <w:vAlign w:val="center"/>
          </w:tcPr>
          <w:p>
            <w:r>
              <w:rPr>
                <w:sz w:val="16"/>
              </w:rPr>
              <w:t>Pneumothorax</w:t>
            </w:r>
          </w:p>
        </w:tc>
        <w:tc>
          <w:tcPr>
            <w:tcW w:type="dxa" w:w="2520"/>
            <w:vAlign w:val="center"/>
          </w:tcPr>
          <w:p>
            <w:r>
              <w:rPr>
                <w:sz w:val="16"/>
              </w:rPr>
              <w:t>Pneumothorax</w:t>
            </w:r>
          </w:p>
        </w:tc>
        <w:tc>
          <w:tcPr>
            <w:tcW w:type="dxa" w:w="2520"/>
            <w:vAlign w:val="center"/>
          </w:tcPr>
          <w:p>
            <w:r>
              <w:rPr>
                <w:sz w:val="16"/>
              </w:rPr>
              <w:t>primary</w:t>
            </w:r>
          </w:p>
        </w:tc>
      </w:tr>
      <w:tr>
        <w:tc>
          <w:tcPr>
            <w:tcW w:type="dxa" w:w="2520"/>
            <w:vAlign w:val="center"/>
          </w:tcPr>
          <w:p>
            <w:r>
              <w:rPr>
                <w:sz w:val="16"/>
              </w:rPr>
              <w:t>Consolidation</w:t>
            </w:r>
          </w:p>
        </w:tc>
        <w:tc>
          <w:tcPr>
            <w:tcW w:type="dxa" w:w="2520"/>
            <w:vAlign w:val="center"/>
          </w:tcPr>
          <w:p>
            <w:r>
              <w:rPr>
                <w:sz w:val="16"/>
              </w:rPr>
              <w:t>Consolidation</w:t>
            </w:r>
          </w:p>
        </w:tc>
        <w:tc>
          <w:tcPr>
            <w:tcW w:type="dxa" w:w="2520"/>
            <w:vAlign w:val="center"/>
          </w:tcPr>
          <w:p>
            <w:r>
              <w:rPr>
                <w:sz w:val="16"/>
              </w:rPr>
              <w:t>Consolidation</w:t>
            </w:r>
          </w:p>
        </w:tc>
        <w:tc>
          <w:tcPr>
            <w:tcW w:type="dxa" w:w="2520"/>
            <w:vAlign w:val="center"/>
          </w:tcPr>
          <w:p>
            <w:r>
              <w:rPr>
                <w:sz w:val="16"/>
              </w:rPr>
              <w:t>primary</w:t>
            </w:r>
          </w:p>
        </w:tc>
      </w:tr>
      <w:tr>
        <w:tc>
          <w:tcPr>
            <w:tcW w:type="dxa" w:w="2520"/>
            <w:vAlign w:val="center"/>
          </w:tcPr>
          <w:p>
            <w:r>
              <w:rPr>
                <w:sz w:val="16"/>
              </w:rPr>
              <w:t>Edema</w:t>
            </w:r>
          </w:p>
        </w:tc>
        <w:tc>
          <w:tcPr>
            <w:tcW w:type="dxa" w:w="2520"/>
            <w:vAlign w:val="center"/>
          </w:tcPr>
          <w:p>
            <w:r>
              <w:rPr>
                <w:sz w:val="16"/>
              </w:rPr>
              <w:t>Edema</w:t>
            </w:r>
          </w:p>
        </w:tc>
        <w:tc>
          <w:tcPr>
            <w:tcW w:type="dxa" w:w="2520"/>
            <w:vAlign w:val="center"/>
          </w:tcPr>
          <w:p>
            <w:r>
              <w:rPr>
                <w:sz w:val="16"/>
              </w:rPr>
              <w:t>Pulmonary edema; Edema</w:t>
            </w:r>
          </w:p>
        </w:tc>
        <w:tc>
          <w:tcPr>
            <w:tcW w:type="dxa" w:w="2520"/>
            <w:vAlign w:val="center"/>
          </w:tcPr>
          <w:p>
            <w:r>
              <w:rPr>
                <w:sz w:val="16"/>
              </w:rPr>
              <w:t>conditional_primary</w:t>
            </w:r>
          </w:p>
        </w:tc>
      </w:tr>
      <w:tr>
        <w:tc>
          <w:tcPr>
            <w:tcW w:type="dxa" w:w="2520"/>
            <w:vAlign w:val="center"/>
          </w:tcPr>
          <w:p>
            <w:r>
              <w:rPr>
                <w:sz w:val="16"/>
              </w:rPr>
              <w:t>Pneumonia</w:t>
            </w:r>
          </w:p>
        </w:tc>
        <w:tc>
          <w:tcPr>
            <w:tcW w:type="dxa" w:w="2520"/>
            <w:vAlign w:val="center"/>
          </w:tcPr>
          <w:p>
            <w:r>
              <w:rPr>
                <w:sz w:val="16"/>
              </w:rPr>
              <w:t>Pneumonia</w:t>
            </w:r>
          </w:p>
        </w:tc>
        <w:tc>
          <w:tcPr>
            <w:tcW w:type="dxa" w:w="2520"/>
            <w:vAlign w:val="center"/>
          </w:tcPr>
          <w:p>
            <w:r>
              <w:rPr>
                <w:sz w:val="16"/>
              </w:rPr>
              <w:t>Pneumonia</w:t>
            </w:r>
          </w:p>
        </w:tc>
        <w:tc>
          <w:tcPr>
            <w:tcW w:type="dxa" w:w="2520"/>
            <w:vAlign w:val="center"/>
          </w:tcPr>
          <w:p>
            <w:r>
              <w:rPr>
                <w:sz w:val="16"/>
              </w:rPr>
              <w:t>sensitivity</w:t>
            </w:r>
          </w:p>
        </w:tc>
      </w:tr>
      <w:tr>
        <w:tc>
          <w:tcPr>
            <w:tcW w:type="dxa" w:w="2520"/>
            <w:vAlign w:val="center"/>
          </w:tcPr>
          <w:p>
            <w:r>
              <w:rPr>
                <w:sz w:val="16"/>
              </w:rPr>
              <w:t>No Finding</w:t>
            </w:r>
          </w:p>
        </w:tc>
        <w:tc>
          <w:tcPr>
            <w:tcW w:type="dxa" w:w="2520"/>
            <w:vAlign w:val="center"/>
          </w:tcPr>
          <w:p>
            <w:r>
              <w:rPr>
                <w:sz w:val="16"/>
              </w:rPr>
              <w:t>No Finding; No finding</w:t>
            </w:r>
          </w:p>
        </w:tc>
        <w:tc>
          <w:tcPr>
            <w:tcW w:type="dxa" w:w="2520"/>
            <w:vAlign w:val="center"/>
          </w:tcPr>
          <w:p>
            <w:r>
              <w:rPr>
                <w:sz w:val="16"/>
              </w:rPr>
              <w:t>No finding; No Finding; No abnormality</w:t>
            </w:r>
          </w:p>
        </w:tc>
        <w:tc>
          <w:tcPr>
            <w:tcW w:type="dxa" w:w="2520"/>
            <w:vAlign w:val="center"/>
          </w:tcPr>
          <w:p>
            <w:r>
              <w:rPr>
                <w:sz w:val="16"/>
              </w:rPr>
              <w:t>sensitivity</w:t>
            </w:r>
          </w:p>
        </w:tc>
      </w:tr>
    </w:tbl>
    <w:p>
      <w:pPr>
        <w:pStyle w:val="Heading2"/>
      </w:pPr>
      <w:r>
        <w:t>Table 3. Internal and External Performance by Label and Model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Pr>
                <w:b/>
                <w:sz w:val="16"/>
              </w:rPr>
              <w:t>model</w:t>
            </w:r>
          </w:p>
        </w:tc>
        <w:tc>
          <w:tcPr>
            <w:tcW w:type="dxa" w:w="1440"/>
            <w:vAlign w:val="center"/>
            <w:shd w:fill="D9EAF7"/>
          </w:tcPr>
          <w:p>
            <w:r>
              <w:rPr>
                <w:b/>
                <w:sz w:val="16"/>
              </w:rPr>
              <w:t>dataset</w:t>
            </w:r>
          </w:p>
        </w:tc>
        <w:tc>
          <w:tcPr>
            <w:tcW w:type="dxa" w:w="1440"/>
            <w:vAlign w:val="center"/>
            <w:shd w:fill="D9EAF7"/>
          </w:tcPr>
          <w:p>
            <w:r>
              <w:rPr>
                <w:b/>
                <w:sz w:val="16"/>
              </w:rPr>
              <w:t>label</w:t>
            </w:r>
          </w:p>
        </w:tc>
        <w:tc>
          <w:tcPr>
            <w:tcW w:type="dxa" w:w="1440"/>
            <w:vAlign w:val="center"/>
            <w:shd w:fill="D9EAF7"/>
          </w:tcPr>
          <w:p>
            <w:r>
              <w:rPr>
                <w:b/>
                <w:sz w:val="16"/>
              </w:rPr>
              <w:t>prevalence</w:t>
            </w:r>
          </w:p>
        </w:tc>
        <w:tc>
          <w:tcPr>
            <w:tcW w:type="dxa" w:w="1440"/>
            <w:vAlign w:val="center"/>
            <w:shd w:fill="D9EAF7"/>
          </w:tcPr>
          <w:p>
            <w:r>
              <w:rPr>
                <w:b/>
                <w:sz w:val="16"/>
              </w:rPr>
              <w:t>AUROC (95% CI)</w:t>
            </w:r>
          </w:p>
        </w:tc>
        <w:tc>
          <w:tcPr>
            <w:tcW w:type="dxa" w:w="1440"/>
            <w:vAlign w:val="center"/>
            <w:shd w:fill="D9EAF7"/>
          </w:tcPr>
          <w:p>
            <w:r>
              <w:rPr>
                <w:b/>
                <w:sz w:val="16"/>
              </w:rPr>
              <w:t>AUPRC (95% CI)</w:t>
            </w:r>
          </w:p>
        </w:tc>
        <w:tc>
          <w:tcPr>
            <w:tcW w:type="dxa" w:w="1440"/>
            <w:vAlign w:val="center"/>
            <w:shd w:fill="D9EAF7"/>
          </w:tcPr>
          <w:p>
            <w:r>
              <w:rPr>
                <w:b/>
                <w:sz w:val="16"/>
              </w:rPr>
              <w:t>F1</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Atelectasis</w:t>
            </w:r>
          </w:p>
        </w:tc>
        <w:tc>
          <w:tcPr>
            <w:tcW w:type="dxa" w:w="1440"/>
            <w:vAlign w:val="center"/>
          </w:tcPr>
          <w:p>
            <w:r>
              <w:rPr>
                <w:sz w:val="16"/>
              </w:rPr>
              <w:t>0.120</w:t>
            </w:r>
          </w:p>
        </w:tc>
        <w:tc>
          <w:tcPr>
            <w:tcW w:type="dxa" w:w="1440"/>
            <w:vAlign w:val="center"/>
          </w:tcPr>
          <w:p>
            <w:r>
              <w:rPr>
                <w:sz w:val="16"/>
              </w:rPr>
              <w:t>0.679 (0.616-0.743)</w:t>
            </w:r>
          </w:p>
        </w:tc>
        <w:tc>
          <w:tcPr>
            <w:tcW w:type="dxa" w:w="1440"/>
            <w:vAlign w:val="center"/>
          </w:tcPr>
          <w:p>
            <w:r>
              <w:rPr>
                <w:sz w:val="16"/>
              </w:rPr>
              <w:t>0.222 (0.169-0.306)</w:t>
            </w:r>
          </w:p>
        </w:tc>
        <w:tc>
          <w:tcPr>
            <w:tcW w:type="dxa" w:w="1440"/>
            <w:vAlign w:val="center"/>
          </w:tcPr>
          <w:p>
            <w:r>
              <w:rPr>
                <w:sz w:val="16"/>
              </w:rPr>
              <w:t>0.246</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Cardiomegaly</w:t>
            </w:r>
          </w:p>
        </w:tc>
        <w:tc>
          <w:tcPr>
            <w:tcW w:type="dxa" w:w="1440"/>
            <w:vAlign w:val="center"/>
          </w:tcPr>
          <w:p>
            <w:r>
              <w:rPr>
                <w:sz w:val="16"/>
              </w:rPr>
              <w:t>0.035</w:t>
            </w:r>
          </w:p>
        </w:tc>
        <w:tc>
          <w:tcPr>
            <w:tcW w:type="dxa" w:w="1440"/>
            <w:vAlign w:val="center"/>
          </w:tcPr>
          <w:p>
            <w:r>
              <w:rPr>
                <w:sz w:val="16"/>
              </w:rPr>
              <w:t>0.675 (0.560-0.771)</w:t>
            </w:r>
          </w:p>
        </w:tc>
        <w:tc>
          <w:tcPr>
            <w:tcW w:type="dxa" w:w="1440"/>
            <w:vAlign w:val="center"/>
          </w:tcPr>
          <w:p>
            <w:r>
              <w:rPr>
                <w:sz w:val="16"/>
              </w:rPr>
              <w:t>0.119 (0.043-0.240)</w:t>
            </w:r>
          </w:p>
        </w:tc>
        <w:tc>
          <w:tcPr>
            <w:tcW w:type="dxa" w:w="1440"/>
            <w:vAlign w:val="center"/>
          </w:tcPr>
          <w:p>
            <w:r>
              <w:rPr>
                <w:sz w:val="16"/>
              </w:rPr>
              <w:t>0.182</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Pleural Effusion</w:t>
            </w:r>
          </w:p>
        </w:tc>
        <w:tc>
          <w:tcPr>
            <w:tcW w:type="dxa" w:w="1440"/>
            <w:vAlign w:val="center"/>
          </w:tcPr>
          <w:p>
            <w:r>
              <w:rPr>
                <w:sz w:val="16"/>
              </w:rPr>
              <w:t>0.147</w:t>
            </w:r>
          </w:p>
        </w:tc>
        <w:tc>
          <w:tcPr>
            <w:tcW w:type="dxa" w:w="1440"/>
            <w:vAlign w:val="center"/>
          </w:tcPr>
          <w:p>
            <w:r>
              <w:rPr>
                <w:sz w:val="16"/>
              </w:rPr>
              <w:t>0.709 (0.650-0.763)</w:t>
            </w:r>
          </w:p>
        </w:tc>
        <w:tc>
          <w:tcPr>
            <w:tcW w:type="dxa" w:w="1440"/>
            <w:vAlign w:val="center"/>
          </w:tcPr>
          <w:p>
            <w:r>
              <w:rPr>
                <w:sz w:val="16"/>
              </w:rPr>
              <w:t>0.335 (0.258-0.431)</w:t>
            </w:r>
          </w:p>
        </w:tc>
        <w:tc>
          <w:tcPr>
            <w:tcW w:type="dxa" w:w="1440"/>
            <w:vAlign w:val="center"/>
          </w:tcPr>
          <w:p>
            <w:r>
              <w:rPr>
                <w:sz w:val="16"/>
              </w:rPr>
              <w:t>0.342</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Pneumothorax</w:t>
            </w:r>
          </w:p>
        </w:tc>
        <w:tc>
          <w:tcPr>
            <w:tcW w:type="dxa" w:w="1440"/>
            <w:vAlign w:val="center"/>
          </w:tcPr>
          <w:p>
            <w:r>
              <w:rPr>
                <w:sz w:val="16"/>
              </w:rPr>
              <w:t>0.057</w:t>
            </w:r>
          </w:p>
        </w:tc>
        <w:tc>
          <w:tcPr>
            <w:tcW w:type="dxa" w:w="1440"/>
            <w:vAlign w:val="center"/>
          </w:tcPr>
          <w:p>
            <w:r>
              <w:rPr>
                <w:sz w:val="16"/>
              </w:rPr>
              <w:t>0.646 (0.535-0.754)</w:t>
            </w:r>
          </w:p>
        </w:tc>
        <w:tc>
          <w:tcPr>
            <w:tcW w:type="dxa" w:w="1440"/>
            <w:vAlign w:val="center"/>
          </w:tcPr>
          <w:p>
            <w:r>
              <w:rPr>
                <w:sz w:val="16"/>
              </w:rPr>
              <w:t>0.198 (0.085-0.366)</w:t>
            </w:r>
          </w:p>
        </w:tc>
        <w:tc>
          <w:tcPr>
            <w:tcW w:type="dxa" w:w="1440"/>
            <w:vAlign w:val="center"/>
          </w:tcPr>
          <w:p>
            <w:r>
              <w:rPr>
                <w:sz w:val="16"/>
              </w:rPr>
              <w:t>0.203</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Consolidation</w:t>
            </w:r>
          </w:p>
        </w:tc>
        <w:tc>
          <w:tcPr>
            <w:tcW w:type="dxa" w:w="1440"/>
            <w:vAlign w:val="center"/>
          </w:tcPr>
          <w:p>
            <w:r>
              <w:rPr>
                <w:sz w:val="16"/>
              </w:rPr>
              <w:t>0.055</w:t>
            </w:r>
          </w:p>
        </w:tc>
        <w:tc>
          <w:tcPr>
            <w:tcW w:type="dxa" w:w="1440"/>
            <w:vAlign w:val="center"/>
          </w:tcPr>
          <w:p>
            <w:r>
              <w:rPr>
                <w:sz w:val="16"/>
              </w:rPr>
              <w:t>0.618 (0.532-0.695)</w:t>
            </w:r>
          </w:p>
        </w:tc>
        <w:tc>
          <w:tcPr>
            <w:tcW w:type="dxa" w:w="1440"/>
            <w:vAlign w:val="center"/>
          </w:tcPr>
          <w:p>
            <w:r>
              <w:rPr>
                <w:sz w:val="16"/>
              </w:rPr>
              <w:t>0.076 (0.053-0.127)</w:t>
            </w:r>
          </w:p>
        </w:tc>
        <w:tc>
          <w:tcPr>
            <w:tcW w:type="dxa" w:w="1440"/>
            <w:vAlign w:val="center"/>
          </w:tcPr>
          <w:p>
            <w:r>
              <w:rPr>
                <w:sz w:val="16"/>
              </w:rPr>
              <w:t>0.155</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Edema</w:t>
            </w:r>
          </w:p>
        </w:tc>
        <w:tc>
          <w:tcPr>
            <w:tcW w:type="dxa" w:w="1440"/>
            <w:vAlign w:val="center"/>
          </w:tcPr>
          <w:p>
            <w:r>
              <w:rPr>
                <w:sz w:val="16"/>
              </w:rPr>
              <w:t>0.020</w:t>
            </w:r>
          </w:p>
        </w:tc>
        <w:tc>
          <w:tcPr>
            <w:tcW w:type="dxa" w:w="1440"/>
            <w:vAlign w:val="center"/>
          </w:tcPr>
          <w:p>
            <w:r>
              <w:rPr>
                <w:sz w:val="16"/>
              </w:rPr>
              <w:t>0.794 (0.689-0.878)</w:t>
            </w:r>
          </w:p>
        </w:tc>
        <w:tc>
          <w:tcPr>
            <w:tcW w:type="dxa" w:w="1440"/>
            <w:vAlign w:val="center"/>
          </w:tcPr>
          <w:p>
            <w:r>
              <w:rPr>
                <w:sz w:val="16"/>
              </w:rPr>
              <w:t>0.059 (0.028-0.122)</w:t>
            </w:r>
          </w:p>
        </w:tc>
        <w:tc>
          <w:tcPr>
            <w:tcW w:type="dxa" w:w="1440"/>
            <w:vAlign w:val="center"/>
          </w:tcPr>
          <w:p>
            <w:r>
              <w:rPr>
                <w:sz w:val="16"/>
              </w:rPr>
              <w:t>0.144</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Pneumonia</w:t>
            </w:r>
          </w:p>
        </w:tc>
        <w:tc>
          <w:tcPr>
            <w:tcW w:type="dxa" w:w="1440"/>
            <w:vAlign w:val="center"/>
          </w:tcPr>
          <w:p>
            <w:r>
              <w:rPr>
                <w:sz w:val="16"/>
              </w:rPr>
              <w:t>0.023</w:t>
            </w:r>
          </w:p>
        </w:tc>
        <w:tc>
          <w:tcPr>
            <w:tcW w:type="dxa" w:w="1440"/>
            <w:vAlign w:val="center"/>
          </w:tcPr>
          <w:p>
            <w:r>
              <w:rPr>
                <w:sz w:val="16"/>
              </w:rPr>
              <w:t>0.645 (0.522-0.751)</w:t>
            </w:r>
          </w:p>
        </w:tc>
        <w:tc>
          <w:tcPr>
            <w:tcW w:type="dxa" w:w="1440"/>
            <w:vAlign w:val="center"/>
          </w:tcPr>
          <w:p>
            <w:r>
              <w:rPr>
                <w:sz w:val="16"/>
              </w:rPr>
              <w:t>0.037 (0.020-0.080)</w:t>
            </w:r>
          </w:p>
        </w:tc>
        <w:tc>
          <w:tcPr>
            <w:tcW w:type="dxa" w:w="1440"/>
            <w:vAlign w:val="center"/>
          </w:tcPr>
          <w:p>
            <w:r>
              <w:rPr>
                <w:sz w:val="16"/>
              </w:rPr>
              <w:t>0.059</w:t>
            </w:r>
          </w:p>
        </w:tc>
      </w:tr>
      <w:tr>
        <w:tc>
          <w:tcPr>
            <w:tcW w:type="dxa" w:w="1440"/>
            <w:vAlign w:val="center"/>
          </w:tcPr>
          <w:p>
            <w:r>
              <w:rPr>
                <w:sz w:val="16"/>
              </w:rPr>
              <w:t>DenseNet121</w:t>
            </w:r>
          </w:p>
        </w:tc>
        <w:tc>
          <w:tcPr>
            <w:tcW w:type="dxa" w:w="1440"/>
            <w:vAlign w:val="center"/>
          </w:tcPr>
          <w:p>
            <w:r>
              <w:rPr>
                <w:sz w:val="16"/>
              </w:rPr>
              <w:t>NIH internal</w:t>
            </w:r>
          </w:p>
        </w:tc>
        <w:tc>
          <w:tcPr>
            <w:tcW w:type="dxa" w:w="1440"/>
            <w:vAlign w:val="center"/>
          </w:tcPr>
          <w:p>
            <w:r>
              <w:rPr>
                <w:sz w:val="16"/>
              </w:rPr>
              <w:t>No Finding</w:t>
            </w:r>
          </w:p>
        </w:tc>
        <w:tc>
          <w:tcPr>
            <w:tcW w:type="dxa" w:w="1440"/>
            <w:vAlign w:val="center"/>
          </w:tcPr>
          <w:p>
            <w:r>
              <w:rPr>
                <w:sz w:val="16"/>
              </w:rPr>
              <w:t>0.507</w:t>
            </w:r>
          </w:p>
        </w:tc>
        <w:tc>
          <w:tcPr>
            <w:tcW w:type="dxa" w:w="1440"/>
            <w:vAlign w:val="center"/>
          </w:tcPr>
          <w:p>
            <w:r>
              <w:rPr>
                <w:sz w:val="16"/>
              </w:rPr>
              <w:t>0.676 (0.630-0.723)</w:t>
            </w:r>
          </w:p>
        </w:tc>
        <w:tc>
          <w:tcPr>
            <w:tcW w:type="dxa" w:w="1440"/>
            <w:vAlign w:val="center"/>
          </w:tcPr>
          <w:p>
            <w:r>
              <w:rPr>
                <w:sz w:val="16"/>
              </w:rPr>
              <w:t>0.662 (0.601-0.726)</w:t>
            </w:r>
          </w:p>
        </w:tc>
        <w:tc>
          <w:tcPr>
            <w:tcW w:type="dxa" w:w="1440"/>
            <w:vAlign w:val="center"/>
          </w:tcPr>
          <w:p>
            <w:r>
              <w:rPr>
                <w:sz w:val="16"/>
              </w:rPr>
              <w:t>0.671</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Atelectasis</w:t>
            </w:r>
          </w:p>
        </w:tc>
        <w:tc>
          <w:tcPr>
            <w:tcW w:type="dxa" w:w="1440"/>
            <w:vAlign w:val="center"/>
          </w:tcPr>
          <w:p>
            <w:r>
              <w:rPr>
                <w:sz w:val="16"/>
              </w:rPr>
              <w:t>0.131</w:t>
            </w:r>
          </w:p>
        </w:tc>
        <w:tc>
          <w:tcPr>
            <w:tcW w:type="dxa" w:w="1440"/>
            <w:vAlign w:val="center"/>
          </w:tcPr>
          <w:p>
            <w:r>
              <w:rPr>
                <w:sz w:val="16"/>
              </w:rPr>
              <w:t>0.617 (0.577-0.658)</w:t>
            </w:r>
          </w:p>
        </w:tc>
        <w:tc>
          <w:tcPr>
            <w:tcW w:type="dxa" w:w="1440"/>
            <w:vAlign w:val="center"/>
          </w:tcPr>
          <w:p>
            <w:r>
              <w:rPr>
                <w:sz w:val="16"/>
              </w:rPr>
              <w:t>0.157 (0.132-0.194)</w:t>
            </w:r>
          </w:p>
        </w:tc>
        <w:tc>
          <w:tcPr>
            <w:tcW w:type="dxa" w:w="1440"/>
            <w:vAlign w:val="center"/>
          </w:tcPr>
          <w:p>
            <w:r>
              <w:rPr>
                <w:sz w:val="16"/>
              </w:rPr>
              <w:t>0.117</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Cardiomegaly</w:t>
            </w:r>
          </w:p>
        </w:tc>
        <w:tc>
          <w:tcPr>
            <w:tcW w:type="dxa" w:w="1440"/>
            <w:vAlign w:val="center"/>
          </w:tcPr>
          <w:p>
            <w:r>
              <w:rPr>
                <w:sz w:val="16"/>
              </w:rPr>
              <w:t>0.276</w:t>
            </w:r>
          </w:p>
        </w:tc>
        <w:tc>
          <w:tcPr>
            <w:tcW w:type="dxa" w:w="1440"/>
            <w:vAlign w:val="center"/>
          </w:tcPr>
          <w:p>
            <w:r>
              <w:rPr>
                <w:sz w:val="16"/>
              </w:rPr>
              <w:t>0.780 (0.752-0.810)</w:t>
            </w:r>
          </w:p>
        </w:tc>
        <w:tc>
          <w:tcPr>
            <w:tcW w:type="dxa" w:w="1440"/>
            <w:vAlign w:val="center"/>
          </w:tcPr>
          <w:p>
            <w:r>
              <w:rPr>
                <w:sz w:val="16"/>
              </w:rPr>
              <w:t>0.565 (0.505-0.625)</w:t>
            </w:r>
          </w:p>
        </w:tc>
        <w:tc>
          <w:tcPr>
            <w:tcW w:type="dxa" w:w="1440"/>
            <w:vAlign w:val="center"/>
          </w:tcPr>
          <w:p>
            <w:r>
              <w:rPr>
                <w:sz w:val="16"/>
              </w:rPr>
              <w:t>0.353</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Pleural Effusion</w:t>
            </w:r>
          </w:p>
        </w:tc>
        <w:tc>
          <w:tcPr>
            <w:tcW w:type="dxa" w:w="1440"/>
            <w:vAlign w:val="center"/>
          </w:tcPr>
          <w:p>
            <w:r>
              <w:rPr>
                <w:sz w:val="16"/>
              </w:rPr>
              <w:t>0.288</w:t>
            </w:r>
          </w:p>
        </w:tc>
        <w:tc>
          <w:tcPr>
            <w:tcW w:type="dxa" w:w="1440"/>
            <w:vAlign w:val="center"/>
          </w:tcPr>
          <w:p>
            <w:r>
              <w:rPr>
                <w:sz w:val="16"/>
              </w:rPr>
              <w:t>0.811 (0.779-0.838)</w:t>
            </w:r>
          </w:p>
        </w:tc>
        <w:tc>
          <w:tcPr>
            <w:tcW w:type="dxa" w:w="1440"/>
            <w:vAlign w:val="center"/>
          </w:tcPr>
          <w:p>
            <w:r>
              <w:rPr>
                <w:sz w:val="16"/>
              </w:rPr>
              <w:t>0.637 (0.580-0.692)</w:t>
            </w:r>
          </w:p>
        </w:tc>
        <w:tc>
          <w:tcPr>
            <w:tcW w:type="dxa" w:w="1440"/>
            <w:vAlign w:val="center"/>
          </w:tcPr>
          <w:p>
            <w:r>
              <w:rPr>
                <w:sz w:val="16"/>
              </w:rPr>
              <w:t>0.622</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Pneumothorax</w:t>
            </w:r>
          </w:p>
        </w:tc>
        <w:tc>
          <w:tcPr>
            <w:tcW w:type="dxa" w:w="1440"/>
            <w:vAlign w:val="center"/>
          </w:tcPr>
          <w:p>
            <w:r>
              <w:rPr>
                <w:sz w:val="16"/>
              </w:rPr>
              <w:t>0.059</w:t>
            </w:r>
          </w:p>
        </w:tc>
        <w:tc>
          <w:tcPr>
            <w:tcW w:type="dxa" w:w="1440"/>
            <w:vAlign w:val="center"/>
          </w:tcPr>
          <w:p>
            <w:r>
              <w:rPr>
                <w:sz w:val="16"/>
              </w:rPr>
              <w:t>0.657 (0.598-0.718)</w:t>
            </w:r>
          </w:p>
        </w:tc>
        <w:tc>
          <w:tcPr>
            <w:tcW w:type="dxa" w:w="1440"/>
            <w:vAlign w:val="center"/>
          </w:tcPr>
          <w:p>
            <w:r>
              <w:rPr>
                <w:sz w:val="16"/>
              </w:rPr>
              <w:t>0.092 (0.066-0.135)</w:t>
            </w:r>
          </w:p>
        </w:tc>
        <w:tc>
          <w:tcPr>
            <w:tcW w:type="dxa" w:w="1440"/>
            <w:vAlign w:val="center"/>
          </w:tcPr>
          <w:p>
            <w:r>
              <w:rPr>
                <w:sz w:val="16"/>
              </w:rPr>
              <w:t>0.147</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Consolidation</w:t>
            </w:r>
          </w:p>
        </w:tc>
        <w:tc>
          <w:tcPr>
            <w:tcW w:type="dxa" w:w="1440"/>
            <w:vAlign w:val="center"/>
          </w:tcPr>
          <w:p>
            <w:r>
              <w:rPr>
                <w:sz w:val="16"/>
              </w:rPr>
              <w:t>0.175</w:t>
            </w:r>
          </w:p>
        </w:tc>
        <w:tc>
          <w:tcPr>
            <w:tcW w:type="dxa" w:w="1440"/>
            <w:vAlign w:val="center"/>
          </w:tcPr>
          <w:p>
            <w:r>
              <w:rPr>
                <w:sz w:val="16"/>
              </w:rPr>
              <w:t>0.745 (0.710-0.778)</w:t>
            </w:r>
          </w:p>
        </w:tc>
        <w:tc>
          <w:tcPr>
            <w:tcW w:type="dxa" w:w="1440"/>
            <w:vAlign w:val="center"/>
          </w:tcPr>
          <w:p>
            <w:r>
              <w:rPr>
                <w:sz w:val="16"/>
              </w:rPr>
              <w:t>0.374 (0.321-0.450)</w:t>
            </w:r>
          </w:p>
        </w:tc>
        <w:tc>
          <w:tcPr>
            <w:tcW w:type="dxa" w:w="1440"/>
            <w:vAlign w:val="center"/>
          </w:tcPr>
          <w:p>
            <w:r>
              <w:rPr>
                <w:sz w:val="16"/>
              </w:rPr>
              <w:t>0.273</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Edema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Pneumonia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DenseNet121</w:t>
            </w:r>
          </w:p>
        </w:tc>
        <w:tc>
          <w:tcPr>
            <w:tcW w:type="dxa" w:w="1440"/>
            <w:vAlign w:val="center"/>
          </w:tcPr>
          <w:p>
            <w:r>
              <w:rPr>
                <w:sz w:val="16"/>
              </w:rPr>
              <w:t>VinDr external</w:t>
            </w:r>
          </w:p>
        </w:tc>
        <w:tc>
          <w:tcPr>
            <w:tcW w:type="dxa" w:w="1440"/>
            <w:vAlign w:val="center"/>
          </w:tcPr>
          <w:p>
            <w:r>
              <w:rPr>
                <w:sz w:val="16"/>
              </w:rPr>
              <w:t>No Finding</w:t>
            </w:r>
          </w:p>
        </w:tc>
        <w:tc>
          <w:tcPr>
            <w:tcW w:type="dxa" w:w="1440"/>
            <w:vAlign w:val="center"/>
          </w:tcPr>
          <w:p>
            <w:r>
              <w:rPr>
                <w:sz w:val="16"/>
              </w:rPr>
              <w:t>0.414</w:t>
            </w:r>
          </w:p>
        </w:tc>
        <w:tc>
          <w:tcPr>
            <w:tcW w:type="dxa" w:w="1440"/>
            <w:vAlign w:val="center"/>
          </w:tcPr>
          <w:p>
            <w:r>
              <w:rPr>
                <w:sz w:val="16"/>
              </w:rPr>
              <w:t>0.846 (0.823-0.869)</w:t>
            </w:r>
          </w:p>
        </w:tc>
        <w:tc>
          <w:tcPr>
            <w:tcW w:type="dxa" w:w="1440"/>
            <w:vAlign w:val="center"/>
          </w:tcPr>
          <w:p>
            <w:r>
              <w:rPr>
                <w:sz w:val="16"/>
              </w:rPr>
              <w:t>0.782 (0.738-0.821)</w:t>
            </w:r>
          </w:p>
        </w:tc>
        <w:tc>
          <w:tcPr>
            <w:tcW w:type="dxa" w:w="1440"/>
            <w:vAlign w:val="center"/>
          </w:tcPr>
          <w:p>
            <w:r>
              <w:rPr>
                <w:sz w:val="16"/>
              </w:rPr>
              <w:t>0.634</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Atelectasis</w:t>
            </w:r>
          </w:p>
        </w:tc>
        <w:tc>
          <w:tcPr>
            <w:tcW w:type="dxa" w:w="1440"/>
            <w:vAlign w:val="center"/>
          </w:tcPr>
          <w:p>
            <w:r>
              <w:rPr>
                <w:sz w:val="16"/>
              </w:rPr>
              <w:t>0.120</w:t>
            </w:r>
          </w:p>
        </w:tc>
        <w:tc>
          <w:tcPr>
            <w:tcW w:type="dxa" w:w="1440"/>
            <w:vAlign w:val="center"/>
          </w:tcPr>
          <w:p>
            <w:r>
              <w:rPr>
                <w:sz w:val="16"/>
              </w:rPr>
              <w:t>0.668 (0.601-0.735)</w:t>
            </w:r>
          </w:p>
        </w:tc>
        <w:tc>
          <w:tcPr>
            <w:tcW w:type="dxa" w:w="1440"/>
            <w:vAlign w:val="center"/>
          </w:tcPr>
          <w:p>
            <w:r>
              <w:rPr>
                <w:sz w:val="16"/>
              </w:rPr>
              <w:t>0.215 (0.161-0.306)</w:t>
            </w:r>
          </w:p>
        </w:tc>
        <w:tc>
          <w:tcPr>
            <w:tcW w:type="dxa" w:w="1440"/>
            <w:vAlign w:val="center"/>
          </w:tcPr>
          <w:p>
            <w:r>
              <w:rPr>
                <w:sz w:val="16"/>
              </w:rPr>
              <w:t>0.302</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Cardiomegaly</w:t>
            </w:r>
          </w:p>
        </w:tc>
        <w:tc>
          <w:tcPr>
            <w:tcW w:type="dxa" w:w="1440"/>
            <w:vAlign w:val="center"/>
          </w:tcPr>
          <w:p>
            <w:r>
              <w:rPr>
                <w:sz w:val="16"/>
              </w:rPr>
              <w:t>0.035</w:t>
            </w:r>
          </w:p>
        </w:tc>
        <w:tc>
          <w:tcPr>
            <w:tcW w:type="dxa" w:w="1440"/>
            <w:vAlign w:val="center"/>
          </w:tcPr>
          <w:p>
            <w:r>
              <w:rPr>
                <w:sz w:val="16"/>
              </w:rPr>
              <w:t>0.609 (0.479-0.739)</w:t>
            </w:r>
          </w:p>
        </w:tc>
        <w:tc>
          <w:tcPr>
            <w:tcW w:type="dxa" w:w="1440"/>
            <w:vAlign w:val="center"/>
          </w:tcPr>
          <w:p>
            <w:r>
              <w:rPr>
                <w:sz w:val="16"/>
              </w:rPr>
              <w:t>0.097 (0.037-0.227)</w:t>
            </w:r>
          </w:p>
        </w:tc>
        <w:tc>
          <w:tcPr>
            <w:tcW w:type="dxa" w:w="1440"/>
            <w:vAlign w:val="center"/>
          </w:tcPr>
          <w:p>
            <w:r>
              <w:rPr>
                <w:sz w:val="16"/>
              </w:rPr>
              <w:t>0.106</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Pleural Effusion</w:t>
            </w:r>
          </w:p>
        </w:tc>
        <w:tc>
          <w:tcPr>
            <w:tcW w:type="dxa" w:w="1440"/>
            <w:vAlign w:val="center"/>
          </w:tcPr>
          <w:p>
            <w:r>
              <w:rPr>
                <w:sz w:val="16"/>
              </w:rPr>
              <w:t>0.147</w:t>
            </w:r>
          </w:p>
        </w:tc>
        <w:tc>
          <w:tcPr>
            <w:tcW w:type="dxa" w:w="1440"/>
            <w:vAlign w:val="center"/>
          </w:tcPr>
          <w:p>
            <w:r>
              <w:rPr>
                <w:sz w:val="16"/>
              </w:rPr>
              <w:t>0.712 (0.659-0.765)</w:t>
            </w:r>
          </w:p>
        </w:tc>
        <w:tc>
          <w:tcPr>
            <w:tcW w:type="dxa" w:w="1440"/>
            <w:vAlign w:val="center"/>
          </w:tcPr>
          <w:p>
            <w:r>
              <w:rPr>
                <w:sz w:val="16"/>
              </w:rPr>
              <w:t>0.378 (0.290-0.468)</w:t>
            </w:r>
          </w:p>
        </w:tc>
        <w:tc>
          <w:tcPr>
            <w:tcW w:type="dxa" w:w="1440"/>
            <w:vAlign w:val="center"/>
          </w:tcPr>
          <w:p>
            <w:r>
              <w:rPr>
                <w:sz w:val="16"/>
              </w:rPr>
              <w:t>0.380</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Pneumothorax</w:t>
            </w:r>
          </w:p>
        </w:tc>
        <w:tc>
          <w:tcPr>
            <w:tcW w:type="dxa" w:w="1440"/>
            <w:vAlign w:val="center"/>
          </w:tcPr>
          <w:p>
            <w:r>
              <w:rPr>
                <w:sz w:val="16"/>
              </w:rPr>
              <w:t>0.057</w:t>
            </w:r>
          </w:p>
        </w:tc>
        <w:tc>
          <w:tcPr>
            <w:tcW w:type="dxa" w:w="1440"/>
            <w:vAlign w:val="center"/>
          </w:tcPr>
          <w:p>
            <w:r>
              <w:rPr>
                <w:sz w:val="16"/>
              </w:rPr>
              <w:t>0.659 (0.561-0.743)</w:t>
            </w:r>
          </w:p>
        </w:tc>
        <w:tc>
          <w:tcPr>
            <w:tcW w:type="dxa" w:w="1440"/>
            <w:vAlign w:val="center"/>
          </w:tcPr>
          <w:p>
            <w:r>
              <w:rPr>
                <w:sz w:val="16"/>
              </w:rPr>
              <w:t>0.097 (0.063-0.166)</w:t>
            </w:r>
          </w:p>
        </w:tc>
        <w:tc>
          <w:tcPr>
            <w:tcW w:type="dxa" w:w="1440"/>
            <w:vAlign w:val="center"/>
          </w:tcPr>
          <w:p>
            <w:r>
              <w:rPr>
                <w:sz w:val="16"/>
              </w:rPr>
              <w:t>0.162</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Consolidation</w:t>
            </w:r>
          </w:p>
        </w:tc>
        <w:tc>
          <w:tcPr>
            <w:tcW w:type="dxa" w:w="1440"/>
            <w:vAlign w:val="center"/>
          </w:tcPr>
          <w:p>
            <w:r>
              <w:rPr>
                <w:sz w:val="16"/>
              </w:rPr>
              <w:t>0.055</w:t>
            </w:r>
          </w:p>
        </w:tc>
        <w:tc>
          <w:tcPr>
            <w:tcW w:type="dxa" w:w="1440"/>
            <w:vAlign w:val="center"/>
          </w:tcPr>
          <w:p>
            <w:r>
              <w:rPr>
                <w:sz w:val="16"/>
              </w:rPr>
              <w:t>0.585 (0.501-0.667)</w:t>
            </w:r>
          </w:p>
        </w:tc>
        <w:tc>
          <w:tcPr>
            <w:tcW w:type="dxa" w:w="1440"/>
            <w:vAlign w:val="center"/>
          </w:tcPr>
          <w:p>
            <w:r>
              <w:rPr>
                <w:sz w:val="16"/>
              </w:rPr>
              <w:t>0.067 (0.049-0.102)</w:t>
            </w:r>
          </w:p>
        </w:tc>
        <w:tc>
          <w:tcPr>
            <w:tcW w:type="dxa" w:w="1440"/>
            <w:vAlign w:val="center"/>
          </w:tcPr>
          <w:p>
            <w:r>
              <w:rPr>
                <w:sz w:val="16"/>
              </w:rPr>
              <w:t>0.140</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Edema</w:t>
            </w:r>
          </w:p>
        </w:tc>
        <w:tc>
          <w:tcPr>
            <w:tcW w:type="dxa" w:w="1440"/>
            <w:vAlign w:val="center"/>
          </w:tcPr>
          <w:p>
            <w:r>
              <w:rPr>
                <w:sz w:val="16"/>
              </w:rPr>
              <w:t>0.020</w:t>
            </w:r>
          </w:p>
        </w:tc>
        <w:tc>
          <w:tcPr>
            <w:tcW w:type="dxa" w:w="1440"/>
            <w:vAlign w:val="center"/>
          </w:tcPr>
          <w:p>
            <w:r>
              <w:rPr>
                <w:sz w:val="16"/>
              </w:rPr>
              <w:t>0.714 (0.575-0.835)</w:t>
            </w:r>
          </w:p>
        </w:tc>
        <w:tc>
          <w:tcPr>
            <w:tcW w:type="dxa" w:w="1440"/>
            <w:vAlign w:val="center"/>
          </w:tcPr>
          <w:p>
            <w:r>
              <w:rPr>
                <w:sz w:val="16"/>
              </w:rPr>
              <w:t>0.052 (0.021-0.118)</w:t>
            </w:r>
          </w:p>
        </w:tc>
        <w:tc>
          <w:tcPr>
            <w:tcW w:type="dxa" w:w="1440"/>
            <w:vAlign w:val="center"/>
          </w:tcPr>
          <w:p>
            <w:r>
              <w:rPr>
                <w:sz w:val="16"/>
              </w:rPr>
              <w:t>0.109</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Pneumonia</w:t>
            </w:r>
          </w:p>
        </w:tc>
        <w:tc>
          <w:tcPr>
            <w:tcW w:type="dxa" w:w="1440"/>
            <w:vAlign w:val="center"/>
          </w:tcPr>
          <w:p>
            <w:r>
              <w:rPr>
                <w:sz w:val="16"/>
              </w:rPr>
              <w:t>0.023</w:t>
            </w:r>
          </w:p>
        </w:tc>
        <w:tc>
          <w:tcPr>
            <w:tcW w:type="dxa" w:w="1440"/>
            <w:vAlign w:val="center"/>
          </w:tcPr>
          <w:p>
            <w:r>
              <w:rPr>
                <w:sz w:val="16"/>
              </w:rPr>
              <w:t>0.543 (0.437-0.650)</w:t>
            </w:r>
          </w:p>
        </w:tc>
        <w:tc>
          <w:tcPr>
            <w:tcW w:type="dxa" w:w="1440"/>
            <w:vAlign w:val="center"/>
          </w:tcPr>
          <w:p>
            <w:r>
              <w:rPr>
                <w:sz w:val="16"/>
              </w:rPr>
              <w:t>0.025 (0.015-0.044)</w:t>
            </w:r>
          </w:p>
        </w:tc>
        <w:tc>
          <w:tcPr>
            <w:tcW w:type="dxa" w:w="1440"/>
            <w:vAlign w:val="center"/>
          </w:tcPr>
          <w:p>
            <w:r>
              <w:rPr>
                <w:sz w:val="16"/>
              </w:rPr>
              <w:t>0.037</w:t>
            </w:r>
          </w:p>
        </w:tc>
      </w:tr>
      <w:tr>
        <w:tc>
          <w:tcPr>
            <w:tcW w:type="dxa" w:w="1440"/>
            <w:vAlign w:val="center"/>
          </w:tcPr>
          <w:p>
            <w:r>
              <w:rPr>
                <w:sz w:val="16"/>
              </w:rPr>
              <w:t>ResNet50</w:t>
            </w:r>
          </w:p>
        </w:tc>
        <w:tc>
          <w:tcPr>
            <w:tcW w:type="dxa" w:w="1440"/>
            <w:vAlign w:val="center"/>
          </w:tcPr>
          <w:p>
            <w:r>
              <w:rPr>
                <w:sz w:val="16"/>
              </w:rPr>
              <w:t>NIH internal</w:t>
            </w:r>
          </w:p>
        </w:tc>
        <w:tc>
          <w:tcPr>
            <w:tcW w:type="dxa" w:w="1440"/>
            <w:vAlign w:val="center"/>
          </w:tcPr>
          <w:p>
            <w:r>
              <w:rPr>
                <w:sz w:val="16"/>
              </w:rPr>
              <w:t>No Finding</w:t>
            </w:r>
          </w:p>
        </w:tc>
        <w:tc>
          <w:tcPr>
            <w:tcW w:type="dxa" w:w="1440"/>
            <w:vAlign w:val="center"/>
          </w:tcPr>
          <w:p>
            <w:r>
              <w:rPr>
                <w:sz w:val="16"/>
              </w:rPr>
              <w:t>0.507</w:t>
            </w:r>
          </w:p>
        </w:tc>
        <w:tc>
          <w:tcPr>
            <w:tcW w:type="dxa" w:w="1440"/>
            <w:vAlign w:val="center"/>
          </w:tcPr>
          <w:p>
            <w:r>
              <w:rPr>
                <w:sz w:val="16"/>
              </w:rPr>
              <w:t>0.684 (0.637-0.734)</w:t>
            </w:r>
          </w:p>
        </w:tc>
        <w:tc>
          <w:tcPr>
            <w:tcW w:type="dxa" w:w="1440"/>
            <w:vAlign w:val="center"/>
          </w:tcPr>
          <w:p>
            <w:r>
              <w:rPr>
                <w:sz w:val="16"/>
              </w:rPr>
              <w:t>0.672 (0.606-0.729)</w:t>
            </w:r>
          </w:p>
        </w:tc>
        <w:tc>
          <w:tcPr>
            <w:tcW w:type="dxa" w:w="1440"/>
            <w:vAlign w:val="center"/>
          </w:tcPr>
          <w:p>
            <w:r>
              <w:rPr>
                <w:sz w:val="16"/>
              </w:rPr>
              <w:t>0.662</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Atelectasis</w:t>
            </w:r>
          </w:p>
        </w:tc>
        <w:tc>
          <w:tcPr>
            <w:tcW w:type="dxa" w:w="1440"/>
            <w:vAlign w:val="center"/>
          </w:tcPr>
          <w:p>
            <w:r>
              <w:rPr>
                <w:sz w:val="16"/>
              </w:rPr>
              <w:t>0.131</w:t>
            </w:r>
          </w:p>
        </w:tc>
        <w:tc>
          <w:tcPr>
            <w:tcW w:type="dxa" w:w="1440"/>
            <w:vAlign w:val="center"/>
          </w:tcPr>
          <w:p>
            <w:r>
              <w:rPr>
                <w:sz w:val="16"/>
              </w:rPr>
              <w:t>0.701 (0.662-0.741)</w:t>
            </w:r>
          </w:p>
        </w:tc>
        <w:tc>
          <w:tcPr>
            <w:tcW w:type="dxa" w:w="1440"/>
            <w:vAlign w:val="center"/>
          </w:tcPr>
          <w:p>
            <w:r>
              <w:rPr>
                <w:sz w:val="16"/>
              </w:rPr>
              <w:t>0.233 (0.184-0.289)</w:t>
            </w:r>
          </w:p>
        </w:tc>
        <w:tc>
          <w:tcPr>
            <w:tcW w:type="dxa" w:w="1440"/>
            <w:vAlign w:val="center"/>
          </w:tcPr>
          <w:p>
            <w:r>
              <w:rPr>
                <w:sz w:val="16"/>
              </w:rPr>
              <w:t>0.275</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Cardiomegaly</w:t>
            </w:r>
          </w:p>
        </w:tc>
        <w:tc>
          <w:tcPr>
            <w:tcW w:type="dxa" w:w="1440"/>
            <w:vAlign w:val="center"/>
          </w:tcPr>
          <w:p>
            <w:r>
              <w:rPr>
                <w:sz w:val="16"/>
              </w:rPr>
              <w:t>0.276</w:t>
            </w:r>
          </w:p>
        </w:tc>
        <w:tc>
          <w:tcPr>
            <w:tcW w:type="dxa" w:w="1440"/>
            <w:vAlign w:val="center"/>
          </w:tcPr>
          <w:p>
            <w:r>
              <w:rPr>
                <w:sz w:val="16"/>
              </w:rPr>
              <w:t>0.621 (0.578-0.658)</w:t>
            </w:r>
          </w:p>
        </w:tc>
        <w:tc>
          <w:tcPr>
            <w:tcW w:type="dxa" w:w="1440"/>
            <w:vAlign w:val="center"/>
          </w:tcPr>
          <w:p>
            <w:r>
              <w:rPr>
                <w:sz w:val="16"/>
              </w:rPr>
              <w:t>0.401 (0.349-0.467)</w:t>
            </w:r>
          </w:p>
        </w:tc>
        <w:tc>
          <w:tcPr>
            <w:tcW w:type="dxa" w:w="1440"/>
            <w:vAlign w:val="center"/>
          </w:tcPr>
          <w:p>
            <w:r>
              <w:rPr>
                <w:sz w:val="16"/>
              </w:rPr>
              <w:t>0.391</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Pleural Effusion</w:t>
            </w:r>
          </w:p>
        </w:tc>
        <w:tc>
          <w:tcPr>
            <w:tcW w:type="dxa" w:w="1440"/>
            <w:vAlign w:val="center"/>
          </w:tcPr>
          <w:p>
            <w:r>
              <w:rPr>
                <w:sz w:val="16"/>
              </w:rPr>
              <w:t>0.288</w:t>
            </w:r>
          </w:p>
        </w:tc>
        <w:tc>
          <w:tcPr>
            <w:tcW w:type="dxa" w:w="1440"/>
            <w:vAlign w:val="center"/>
          </w:tcPr>
          <w:p>
            <w:r>
              <w:rPr>
                <w:sz w:val="16"/>
              </w:rPr>
              <w:t>0.800 (0.768-0.834)</w:t>
            </w:r>
          </w:p>
        </w:tc>
        <w:tc>
          <w:tcPr>
            <w:tcW w:type="dxa" w:w="1440"/>
            <w:vAlign w:val="center"/>
          </w:tcPr>
          <w:p>
            <w:r>
              <w:rPr>
                <w:sz w:val="16"/>
              </w:rPr>
              <w:t>0.667 (0.608-0.724)</w:t>
            </w:r>
          </w:p>
        </w:tc>
        <w:tc>
          <w:tcPr>
            <w:tcW w:type="dxa" w:w="1440"/>
            <w:vAlign w:val="center"/>
          </w:tcPr>
          <w:p>
            <w:r>
              <w:rPr>
                <w:sz w:val="16"/>
              </w:rPr>
              <w:t>0.615</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Pneumothorax</w:t>
            </w:r>
          </w:p>
        </w:tc>
        <w:tc>
          <w:tcPr>
            <w:tcW w:type="dxa" w:w="1440"/>
            <w:vAlign w:val="center"/>
          </w:tcPr>
          <w:p>
            <w:r>
              <w:rPr>
                <w:sz w:val="16"/>
              </w:rPr>
              <w:t>0.059</w:t>
            </w:r>
          </w:p>
        </w:tc>
        <w:tc>
          <w:tcPr>
            <w:tcW w:type="dxa" w:w="1440"/>
            <w:vAlign w:val="center"/>
          </w:tcPr>
          <w:p>
            <w:r>
              <w:rPr>
                <w:sz w:val="16"/>
              </w:rPr>
              <w:t>0.663 (0.602-0.726)</w:t>
            </w:r>
          </w:p>
        </w:tc>
        <w:tc>
          <w:tcPr>
            <w:tcW w:type="dxa" w:w="1440"/>
            <w:vAlign w:val="center"/>
          </w:tcPr>
          <w:p>
            <w:r>
              <w:rPr>
                <w:sz w:val="16"/>
              </w:rPr>
              <w:t>0.088 (0.066-0.122)</w:t>
            </w:r>
          </w:p>
        </w:tc>
        <w:tc>
          <w:tcPr>
            <w:tcW w:type="dxa" w:w="1440"/>
            <w:vAlign w:val="center"/>
          </w:tcPr>
          <w:p>
            <w:r>
              <w:rPr>
                <w:sz w:val="16"/>
              </w:rPr>
              <w:t>0.131</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Consolidation</w:t>
            </w:r>
          </w:p>
        </w:tc>
        <w:tc>
          <w:tcPr>
            <w:tcW w:type="dxa" w:w="1440"/>
            <w:vAlign w:val="center"/>
          </w:tcPr>
          <w:p>
            <w:r>
              <w:rPr>
                <w:sz w:val="16"/>
              </w:rPr>
              <w:t>0.175</w:t>
            </w:r>
          </w:p>
        </w:tc>
        <w:tc>
          <w:tcPr>
            <w:tcW w:type="dxa" w:w="1440"/>
            <w:vAlign w:val="center"/>
          </w:tcPr>
          <w:p>
            <w:r>
              <w:rPr>
                <w:sz w:val="16"/>
              </w:rPr>
              <w:t>0.764 (0.730-0.799)</w:t>
            </w:r>
          </w:p>
        </w:tc>
        <w:tc>
          <w:tcPr>
            <w:tcW w:type="dxa" w:w="1440"/>
            <w:vAlign w:val="center"/>
          </w:tcPr>
          <w:p>
            <w:r>
              <w:rPr>
                <w:sz w:val="16"/>
              </w:rPr>
              <w:t>0.375 (0.317-0.450)</w:t>
            </w:r>
          </w:p>
        </w:tc>
        <w:tc>
          <w:tcPr>
            <w:tcW w:type="dxa" w:w="1440"/>
            <w:vAlign w:val="center"/>
          </w:tcPr>
          <w:p>
            <w:r>
              <w:rPr>
                <w:sz w:val="16"/>
              </w:rPr>
              <w:t>0.377</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Edema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Pneumonia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ResNet50</w:t>
            </w:r>
          </w:p>
        </w:tc>
        <w:tc>
          <w:tcPr>
            <w:tcW w:type="dxa" w:w="1440"/>
            <w:vAlign w:val="center"/>
          </w:tcPr>
          <w:p>
            <w:r>
              <w:rPr>
                <w:sz w:val="16"/>
              </w:rPr>
              <w:t>VinDr external</w:t>
            </w:r>
          </w:p>
        </w:tc>
        <w:tc>
          <w:tcPr>
            <w:tcW w:type="dxa" w:w="1440"/>
            <w:vAlign w:val="center"/>
          </w:tcPr>
          <w:p>
            <w:r>
              <w:rPr>
                <w:sz w:val="16"/>
              </w:rPr>
              <w:t>No Finding</w:t>
            </w:r>
          </w:p>
        </w:tc>
        <w:tc>
          <w:tcPr>
            <w:tcW w:type="dxa" w:w="1440"/>
            <w:vAlign w:val="center"/>
          </w:tcPr>
          <w:p>
            <w:r>
              <w:rPr>
                <w:sz w:val="16"/>
              </w:rPr>
              <w:t>0.414</w:t>
            </w:r>
          </w:p>
        </w:tc>
        <w:tc>
          <w:tcPr>
            <w:tcW w:type="dxa" w:w="1440"/>
            <w:vAlign w:val="center"/>
          </w:tcPr>
          <w:p>
            <w:r>
              <w:rPr>
                <w:sz w:val="16"/>
              </w:rPr>
              <w:t>0.819 (0.792-0.843)</w:t>
            </w:r>
          </w:p>
        </w:tc>
        <w:tc>
          <w:tcPr>
            <w:tcW w:type="dxa" w:w="1440"/>
            <w:vAlign w:val="center"/>
          </w:tcPr>
          <w:p>
            <w:r>
              <w:rPr>
                <w:sz w:val="16"/>
              </w:rPr>
              <w:t>0.747 (0.704-0.790)</w:t>
            </w:r>
          </w:p>
        </w:tc>
        <w:tc>
          <w:tcPr>
            <w:tcW w:type="dxa" w:w="1440"/>
            <w:vAlign w:val="center"/>
          </w:tcPr>
          <w:p>
            <w:r>
              <w:rPr>
                <w:sz w:val="16"/>
              </w:rPr>
              <w:t>0.709</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Atelectasis</w:t>
            </w:r>
          </w:p>
        </w:tc>
        <w:tc>
          <w:tcPr>
            <w:tcW w:type="dxa" w:w="1440"/>
            <w:vAlign w:val="center"/>
          </w:tcPr>
          <w:p>
            <w:r>
              <w:rPr>
                <w:sz w:val="16"/>
              </w:rPr>
              <w:t>0.120</w:t>
            </w:r>
          </w:p>
        </w:tc>
        <w:tc>
          <w:tcPr>
            <w:tcW w:type="dxa" w:w="1440"/>
            <w:vAlign w:val="center"/>
          </w:tcPr>
          <w:p>
            <w:r>
              <w:rPr>
                <w:sz w:val="16"/>
              </w:rPr>
              <w:t>0.660 (0.600-0.722)</w:t>
            </w:r>
          </w:p>
        </w:tc>
        <w:tc>
          <w:tcPr>
            <w:tcW w:type="dxa" w:w="1440"/>
            <w:vAlign w:val="center"/>
          </w:tcPr>
          <w:p>
            <w:r>
              <w:rPr>
                <w:sz w:val="16"/>
              </w:rPr>
              <w:t>0.225 (0.165-0.314)</w:t>
            </w:r>
          </w:p>
        </w:tc>
        <w:tc>
          <w:tcPr>
            <w:tcW w:type="dxa" w:w="1440"/>
            <w:vAlign w:val="center"/>
          </w:tcPr>
          <w:p>
            <w:r>
              <w:rPr>
                <w:sz w:val="16"/>
              </w:rPr>
              <w:t>0.254</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Cardiomegaly</w:t>
            </w:r>
          </w:p>
        </w:tc>
        <w:tc>
          <w:tcPr>
            <w:tcW w:type="dxa" w:w="1440"/>
            <w:vAlign w:val="center"/>
          </w:tcPr>
          <w:p>
            <w:r>
              <w:rPr>
                <w:sz w:val="16"/>
              </w:rPr>
              <w:t>0.035</w:t>
            </w:r>
          </w:p>
        </w:tc>
        <w:tc>
          <w:tcPr>
            <w:tcW w:type="dxa" w:w="1440"/>
            <w:vAlign w:val="center"/>
          </w:tcPr>
          <w:p>
            <w:r>
              <w:rPr>
                <w:sz w:val="16"/>
              </w:rPr>
              <w:t>0.655 (0.539-0.771)</w:t>
            </w:r>
          </w:p>
        </w:tc>
        <w:tc>
          <w:tcPr>
            <w:tcW w:type="dxa" w:w="1440"/>
            <w:vAlign w:val="center"/>
          </w:tcPr>
          <w:p>
            <w:r>
              <w:rPr>
                <w:sz w:val="16"/>
              </w:rPr>
              <w:t>0.087 (0.041-0.208)</w:t>
            </w:r>
          </w:p>
        </w:tc>
        <w:tc>
          <w:tcPr>
            <w:tcW w:type="dxa" w:w="1440"/>
            <w:vAlign w:val="center"/>
          </w:tcPr>
          <w:p>
            <w:r>
              <w:rPr>
                <w:sz w:val="16"/>
              </w:rPr>
              <w:t>0.108</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Pleural Effusion</w:t>
            </w:r>
          </w:p>
        </w:tc>
        <w:tc>
          <w:tcPr>
            <w:tcW w:type="dxa" w:w="1440"/>
            <w:vAlign w:val="center"/>
          </w:tcPr>
          <w:p>
            <w:r>
              <w:rPr>
                <w:sz w:val="16"/>
              </w:rPr>
              <w:t>0.147</w:t>
            </w:r>
          </w:p>
        </w:tc>
        <w:tc>
          <w:tcPr>
            <w:tcW w:type="dxa" w:w="1440"/>
            <w:vAlign w:val="center"/>
          </w:tcPr>
          <w:p>
            <w:r>
              <w:rPr>
                <w:sz w:val="16"/>
              </w:rPr>
              <w:t>0.737 (0.681-0.780)</w:t>
            </w:r>
          </w:p>
        </w:tc>
        <w:tc>
          <w:tcPr>
            <w:tcW w:type="dxa" w:w="1440"/>
            <w:vAlign w:val="center"/>
          </w:tcPr>
          <w:p>
            <w:r>
              <w:rPr>
                <w:sz w:val="16"/>
              </w:rPr>
              <w:t>0.356 (0.268-0.460)</w:t>
            </w:r>
          </w:p>
        </w:tc>
        <w:tc>
          <w:tcPr>
            <w:tcW w:type="dxa" w:w="1440"/>
            <w:vAlign w:val="center"/>
          </w:tcPr>
          <w:p>
            <w:r>
              <w:rPr>
                <w:sz w:val="16"/>
              </w:rPr>
              <w:t>0.376</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Pneumothorax</w:t>
            </w:r>
          </w:p>
        </w:tc>
        <w:tc>
          <w:tcPr>
            <w:tcW w:type="dxa" w:w="1440"/>
            <w:vAlign w:val="center"/>
          </w:tcPr>
          <w:p>
            <w:r>
              <w:rPr>
                <w:sz w:val="16"/>
              </w:rPr>
              <w:t>0.057</w:t>
            </w:r>
          </w:p>
        </w:tc>
        <w:tc>
          <w:tcPr>
            <w:tcW w:type="dxa" w:w="1440"/>
            <w:vAlign w:val="center"/>
          </w:tcPr>
          <w:p>
            <w:r>
              <w:rPr>
                <w:sz w:val="16"/>
              </w:rPr>
              <w:t>0.692 (0.601-0.782)</w:t>
            </w:r>
          </w:p>
        </w:tc>
        <w:tc>
          <w:tcPr>
            <w:tcW w:type="dxa" w:w="1440"/>
            <w:vAlign w:val="center"/>
          </w:tcPr>
          <w:p>
            <w:r>
              <w:rPr>
                <w:sz w:val="16"/>
              </w:rPr>
              <w:t>0.190 (0.104-0.356)</w:t>
            </w:r>
          </w:p>
        </w:tc>
        <w:tc>
          <w:tcPr>
            <w:tcW w:type="dxa" w:w="1440"/>
            <w:vAlign w:val="center"/>
          </w:tcPr>
          <w:p>
            <w:r>
              <w:rPr>
                <w:sz w:val="16"/>
              </w:rPr>
              <w:t>0.187</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Consolidation</w:t>
            </w:r>
          </w:p>
        </w:tc>
        <w:tc>
          <w:tcPr>
            <w:tcW w:type="dxa" w:w="1440"/>
            <w:vAlign w:val="center"/>
          </w:tcPr>
          <w:p>
            <w:r>
              <w:rPr>
                <w:sz w:val="16"/>
              </w:rPr>
              <w:t>0.055</w:t>
            </w:r>
          </w:p>
        </w:tc>
        <w:tc>
          <w:tcPr>
            <w:tcW w:type="dxa" w:w="1440"/>
            <w:vAlign w:val="center"/>
          </w:tcPr>
          <w:p>
            <w:r>
              <w:rPr>
                <w:sz w:val="16"/>
              </w:rPr>
              <w:t>0.592 (0.512-0.674)</w:t>
            </w:r>
          </w:p>
        </w:tc>
        <w:tc>
          <w:tcPr>
            <w:tcW w:type="dxa" w:w="1440"/>
            <w:vAlign w:val="center"/>
          </w:tcPr>
          <w:p>
            <w:r>
              <w:rPr>
                <w:sz w:val="16"/>
              </w:rPr>
              <w:t>0.072 (0.050-0.111)</w:t>
            </w:r>
          </w:p>
        </w:tc>
        <w:tc>
          <w:tcPr>
            <w:tcW w:type="dxa" w:w="1440"/>
            <w:vAlign w:val="center"/>
          </w:tcPr>
          <w:p>
            <w:r>
              <w:rPr>
                <w:sz w:val="16"/>
              </w:rPr>
              <w:t>0.123</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Edema</w:t>
            </w:r>
          </w:p>
        </w:tc>
        <w:tc>
          <w:tcPr>
            <w:tcW w:type="dxa" w:w="1440"/>
            <w:vAlign w:val="center"/>
          </w:tcPr>
          <w:p>
            <w:r>
              <w:rPr>
                <w:sz w:val="16"/>
              </w:rPr>
              <w:t>0.020</w:t>
            </w:r>
          </w:p>
        </w:tc>
        <w:tc>
          <w:tcPr>
            <w:tcW w:type="dxa" w:w="1440"/>
            <w:vAlign w:val="center"/>
          </w:tcPr>
          <w:p>
            <w:r>
              <w:rPr>
                <w:sz w:val="16"/>
              </w:rPr>
              <w:t>0.740 (0.604-0.863)</w:t>
            </w:r>
          </w:p>
        </w:tc>
        <w:tc>
          <w:tcPr>
            <w:tcW w:type="dxa" w:w="1440"/>
            <w:vAlign w:val="center"/>
          </w:tcPr>
          <w:p>
            <w:r>
              <w:rPr>
                <w:sz w:val="16"/>
              </w:rPr>
              <w:t>0.085 (0.030-0.219)</w:t>
            </w:r>
          </w:p>
        </w:tc>
        <w:tc>
          <w:tcPr>
            <w:tcW w:type="dxa" w:w="1440"/>
            <w:vAlign w:val="center"/>
          </w:tcPr>
          <w:p>
            <w:r>
              <w:rPr>
                <w:sz w:val="16"/>
              </w:rPr>
              <w:t>0.118</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Pneumonia</w:t>
            </w:r>
          </w:p>
        </w:tc>
        <w:tc>
          <w:tcPr>
            <w:tcW w:type="dxa" w:w="1440"/>
            <w:vAlign w:val="center"/>
          </w:tcPr>
          <w:p>
            <w:r>
              <w:rPr>
                <w:sz w:val="16"/>
              </w:rPr>
              <w:t>0.023</w:t>
            </w:r>
          </w:p>
        </w:tc>
        <w:tc>
          <w:tcPr>
            <w:tcW w:type="dxa" w:w="1440"/>
            <w:vAlign w:val="center"/>
          </w:tcPr>
          <w:p>
            <w:r>
              <w:rPr>
                <w:sz w:val="16"/>
              </w:rPr>
              <w:t>0.468 (0.313-0.637)</w:t>
            </w:r>
          </w:p>
        </w:tc>
        <w:tc>
          <w:tcPr>
            <w:tcW w:type="dxa" w:w="1440"/>
            <w:vAlign w:val="center"/>
          </w:tcPr>
          <w:p>
            <w:r>
              <w:rPr>
                <w:sz w:val="16"/>
              </w:rPr>
              <w:t>0.030 (0.015-0.066)</w:t>
            </w:r>
          </w:p>
        </w:tc>
        <w:tc>
          <w:tcPr>
            <w:tcW w:type="dxa" w:w="1440"/>
            <w:vAlign w:val="center"/>
          </w:tcPr>
          <w:p>
            <w:r>
              <w:rPr>
                <w:sz w:val="16"/>
              </w:rPr>
              <w:t>0.000</w:t>
            </w:r>
          </w:p>
        </w:tc>
      </w:tr>
      <w:tr>
        <w:tc>
          <w:tcPr>
            <w:tcW w:type="dxa" w:w="1440"/>
            <w:vAlign w:val="center"/>
          </w:tcPr>
          <w:p>
            <w:r>
              <w:rPr>
                <w:sz w:val="16"/>
              </w:rPr>
              <w:t>EfficientNet-B0</w:t>
            </w:r>
          </w:p>
        </w:tc>
        <w:tc>
          <w:tcPr>
            <w:tcW w:type="dxa" w:w="1440"/>
            <w:vAlign w:val="center"/>
          </w:tcPr>
          <w:p>
            <w:r>
              <w:rPr>
                <w:sz w:val="16"/>
              </w:rPr>
              <w:t>NIH internal</w:t>
            </w:r>
          </w:p>
        </w:tc>
        <w:tc>
          <w:tcPr>
            <w:tcW w:type="dxa" w:w="1440"/>
            <w:vAlign w:val="center"/>
          </w:tcPr>
          <w:p>
            <w:r>
              <w:rPr>
                <w:sz w:val="16"/>
              </w:rPr>
              <w:t>No Finding</w:t>
            </w:r>
          </w:p>
        </w:tc>
        <w:tc>
          <w:tcPr>
            <w:tcW w:type="dxa" w:w="1440"/>
            <w:vAlign w:val="center"/>
          </w:tcPr>
          <w:p>
            <w:r>
              <w:rPr>
                <w:sz w:val="16"/>
              </w:rPr>
              <w:t>0.507</w:t>
            </w:r>
          </w:p>
        </w:tc>
        <w:tc>
          <w:tcPr>
            <w:tcW w:type="dxa" w:w="1440"/>
            <w:vAlign w:val="center"/>
          </w:tcPr>
          <w:p>
            <w:r>
              <w:rPr>
                <w:sz w:val="16"/>
              </w:rPr>
              <w:t>0.706 (0.664-0.749)</w:t>
            </w:r>
          </w:p>
        </w:tc>
        <w:tc>
          <w:tcPr>
            <w:tcW w:type="dxa" w:w="1440"/>
            <w:vAlign w:val="center"/>
          </w:tcPr>
          <w:p>
            <w:r>
              <w:rPr>
                <w:sz w:val="16"/>
              </w:rPr>
              <w:t>0.696 (0.635-0.753)</w:t>
            </w:r>
          </w:p>
        </w:tc>
        <w:tc>
          <w:tcPr>
            <w:tcW w:type="dxa" w:w="1440"/>
            <w:vAlign w:val="center"/>
          </w:tcPr>
          <w:p>
            <w:r>
              <w:rPr>
                <w:sz w:val="16"/>
              </w:rPr>
              <w:t>0.694</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Atelectasis</w:t>
            </w:r>
          </w:p>
        </w:tc>
        <w:tc>
          <w:tcPr>
            <w:tcW w:type="dxa" w:w="1440"/>
            <w:vAlign w:val="center"/>
          </w:tcPr>
          <w:p>
            <w:r>
              <w:rPr>
                <w:sz w:val="16"/>
              </w:rPr>
              <w:t>0.131</w:t>
            </w:r>
          </w:p>
        </w:tc>
        <w:tc>
          <w:tcPr>
            <w:tcW w:type="dxa" w:w="1440"/>
            <w:vAlign w:val="center"/>
          </w:tcPr>
          <w:p>
            <w:r>
              <w:rPr>
                <w:sz w:val="16"/>
              </w:rPr>
              <w:t>0.612 (0.566-0.657)</w:t>
            </w:r>
          </w:p>
        </w:tc>
        <w:tc>
          <w:tcPr>
            <w:tcW w:type="dxa" w:w="1440"/>
            <w:vAlign w:val="center"/>
          </w:tcPr>
          <w:p>
            <w:r>
              <w:rPr>
                <w:sz w:val="16"/>
              </w:rPr>
              <w:t>0.175 (0.145-0.220)</w:t>
            </w:r>
          </w:p>
        </w:tc>
        <w:tc>
          <w:tcPr>
            <w:tcW w:type="dxa" w:w="1440"/>
            <w:vAlign w:val="center"/>
          </w:tcPr>
          <w:p>
            <w:r>
              <w:rPr>
                <w:sz w:val="16"/>
              </w:rPr>
              <w:t>0.121</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Cardiomegaly</w:t>
            </w:r>
          </w:p>
        </w:tc>
        <w:tc>
          <w:tcPr>
            <w:tcW w:type="dxa" w:w="1440"/>
            <w:vAlign w:val="center"/>
          </w:tcPr>
          <w:p>
            <w:r>
              <w:rPr>
                <w:sz w:val="16"/>
              </w:rPr>
              <w:t>0.276</w:t>
            </w:r>
          </w:p>
        </w:tc>
        <w:tc>
          <w:tcPr>
            <w:tcW w:type="dxa" w:w="1440"/>
            <w:vAlign w:val="center"/>
          </w:tcPr>
          <w:p>
            <w:r>
              <w:rPr>
                <w:sz w:val="16"/>
              </w:rPr>
              <w:t>0.585 (0.548-0.620)</w:t>
            </w:r>
          </w:p>
        </w:tc>
        <w:tc>
          <w:tcPr>
            <w:tcW w:type="dxa" w:w="1440"/>
            <w:vAlign w:val="center"/>
          </w:tcPr>
          <w:p>
            <w:r>
              <w:rPr>
                <w:sz w:val="16"/>
              </w:rPr>
              <w:t>0.353 (0.312-0.408)</w:t>
            </w:r>
          </w:p>
        </w:tc>
        <w:tc>
          <w:tcPr>
            <w:tcW w:type="dxa" w:w="1440"/>
            <w:vAlign w:val="center"/>
          </w:tcPr>
          <w:p>
            <w:r>
              <w:rPr>
                <w:sz w:val="16"/>
              </w:rPr>
              <w:t>0.102</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Pleural Effusion</w:t>
            </w:r>
          </w:p>
        </w:tc>
        <w:tc>
          <w:tcPr>
            <w:tcW w:type="dxa" w:w="1440"/>
            <w:vAlign w:val="center"/>
          </w:tcPr>
          <w:p>
            <w:r>
              <w:rPr>
                <w:sz w:val="16"/>
              </w:rPr>
              <w:t>0.288</w:t>
            </w:r>
          </w:p>
        </w:tc>
        <w:tc>
          <w:tcPr>
            <w:tcW w:type="dxa" w:w="1440"/>
            <w:vAlign w:val="center"/>
          </w:tcPr>
          <w:p>
            <w:r>
              <w:rPr>
                <w:sz w:val="16"/>
              </w:rPr>
              <w:t>0.779 (0.745-0.808)</w:t>
            </w:r>
          </w:p>
        </w:tc>
        <w:tc>
          <w:tcPr>
            <w:tcW w:type="dxa" w:w="1440"/>
            <w:vAlign w:val="center"/>
          </w:tcPr>
          <w:p>
            <w:r>
              <w:rPr>
                <w:sz w:val="16"/>
              </w:rPr>
              <w:t>0.651 (0.597-0.703)</w:t>
            </w:r>
          </w:p>
        </w:tc>
        <w:tc>
          <w:tcPr>
            <w:tcW w:type="dxa" w:w="1440"/>
            <w:vAlign w:val="center"/>
          </w:tcPr>
          <w:p>
            <w:r>
              <w:rPr>
                <w:sz w:val="16"/>
              </w:rPr>
              <w:t>0.589</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Pneumothorax</w:t>
            </w:r>
          </w:p>
        </w:tc>
        <w:tc>
          <w:tcPr>
            <w:tcW w:type="dxa" w:w="1440"/>
            <w:vAlign w:val="center"/>
          </w:tcPr>
          <w:p>
            <w:r>
              <w:rPr>
                <w:sz w:val="16"/>
              </w:rPr>
              <w:t>0.059</w:t>
            </w:r>
          </w:p>
        </w:tc>
        <w:tc>
          <w:tcPr>
            <w:tcW w:type="dxa" w:w="1440"/>
            <w:vAlign w:val="center"/>
          </w:tcPr>
          <w:p>
            <w:r>
              <w:rPr>
                <w:sz w:val="16"/>
              </w:rPr>
              <w:t>0.603 (0.533-0.663)</w:t>
            </w:r>
          </w:p>
        </w:tc>
        <w:tc>
          <w:tcPr>
            <w:tcW w:type="dxa" w:w="1440"/>
            <w:vAlign w:val="center"/>
          </w:tcPr>
          <w:p>
            <w:r>
              <w:rPr>
                <w:sz w:val="16"/>
              </w:rPr>
              <w:t>0.091 (0.063-0.148)</w:t>
            </w:r>
          </w:p>
        </w:tc>
        <w:tc>
          <w:tcPr>
            <w:tcW w:type="dxa" w:w="1440"/>
            <w:vAlign w:val="center"/>
          </w:tcPr>
          <w:p>
            <w:r>
              <w:rPr>
                <w:sz w:val="16"/>
              </w:rPr>
              <w:t>0.139</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Consolidation</w:t>
            </w:r>
          </w:p>
        </w:tc>
        <w:tc>
          <w:tcPr>
            <w:tcW w:type="dxa" w:w="1440"/>
            <w:vAlign w:val="center"/>
          </w:tcPr>
          <w:p>
            <w:r>
              <w:rPr>
                <w:sz w:val="16"/>
              </w:rPr>
              <w:t>0.175</w:t>
            </w:r>
          </w:p>
        </w:tc>
        <w:tc>
          <w:tcPr>
            <w:tcW w:type="dxa" w:w="1440"/>
            <w:vAlign w:val="center"/>
          </w:tcPr>
          <w:p>
            <w:r>
              <w:rPr>
                <w:sz w:val="16"/>
              </w:rPr>
              <w:t>0.594 (0.551-0.640)</w:t>
            </w:r>
          </w:p>
        </w:tc>
        <w:tc>
          <w:tcPr>
            <w:tcW w:type="dxa" w:w="1440"/>
            <w:vAlign w:val="center"/>
          </w:tcPr>
          <w:p>
            <w:r>
              <w:rPr>
                <w:sz w:val="16"/>
              </w:rPr>
              <w:t>0.245 (0.203-0.308)</w:t>
            </w:r>
          </w:p>
        </w:tc>
        <w:tc>
          <w:tcPr>
            <w:tcW w:type="dxa" w:w="1440"/>
            <w:vAlign w:val="center"/>
          </w:tcPr>
          <w:p>
            <w:r>
              <w:rPr>
                <w:sz w:val="16"/>
              </w:rPr>
              <w:t>0.065</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Edema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Pneumonia</w:t>
            </w:r>
          </w:p>
        </w:tc>
        <w:tc>
          <w:tcPr>
            <w:tcW w:type="dxa" w:w="1440"/>
            <w:vAlign w:val="center"/>
          </w:tcPr>
          <w:p>
            <w:r>
              <w:rPr>
                <w:sz w:val="16"/>
              </w:rPr>
              <w:t>0.000</w:t>
            </w:r>
          </w:p>
        </w:tc>
        <w:tc>
          <w:tcPr>
            <w:tcW w:type="dxa" w:w="1440"/>
            <w:vAlign w:val="center"/>
          </w:tcPr>
          <w:p>
            <w:r>
              <w:rPr>
                <w:sz w:val="16"/>
              </w:rPr>
              <w:t>NA (NA-NA)</w:t>
            </w:r>
          </w:p>
        </w:tc>
        <w:tc>
          <w:tcPr>
            <w:tcW w:type="dxa" w:w="1440"/>
            <w:vAlign w:val="center"/>
          </w:tcPr>
          <w:p>
            <w:r>
              <w:rPr>
                <w:sz w:val="16"/>
              </w:rPr>
              <w:t>NA (NA-NA)</w:t>
            </w:r>
          </w:p>
        </w:tc>
        <w:tc>
          <w:tcPr>
            <w:tcW w:type="dxa" w:w="1440"/>
            <w:vAlign w:val="center"/>
          </w:tcPr>
          <w:p>
            <w:r>
              <w:rPr>
                <w:sz w:val="16"/>
              </w:rPr>
              <w:t>NA</w:t>
            </w:r>
          </w:p>
        </w:tc>
      </w:tr>
      <w:tr>
        <w:tc>
          <w:tcPr>
            <w:tcW w:type="dxa" w:w="1440"/>
            <w:vAlign w:val="center"/>
          </w:tcPr>
          <w:p>
            <w:r>
              <w:rPr>
                <w:sz w:val="16"/>
              </w:rPr>
              <w:t>EfficientNet-B0</w:t>
            </w:r>
          </w:p>
        </w:tc>
        <w:tc>
          <w:tcPr>
            <w:tcW w:type="dxa" w:w="1440"/>
            <w:vAlign w:val="center"/>
          </w:tcPr>
          <w:p>
            <w:r>
              <w:rPr>
                <w:sz w:val="16"/>
              </w:rPr>
              <w:t>VinDr external</w:t>
            </w:r>
          </w:p>
        </w:tc>
        <w:tc>
          <w:tcPr>
            <w:tcW w:type="dxa" w:w="1440"/>
            <w:vAlign w:val="center"/>
          </w:tcPr>
          <w:p>
            <w:r>
              <w:rPr>
                <w:sz w:val="16"/>
              </w:rPr>
              <w:t>No Finding</w:t>
            </w:r>
          </w:p>
        </w:tc>
        <w:tc>
          <w:tcPr>
            <w:tcW w:type="dxa" w:w="1440"/>
            <w:vAlign w:val="center"/>
          </w:tcPr>
          <w:p>
            <w:r>
              <w:rPr>
                <w:sz w:val="16"/>
              </w:rPr>
              <w:t>0.414</w:t>
            </w:r>
          </w:p>
        </w:tc>
        <w:tc>
          <w:tcPr>
            <w:tcW w:type="dxa" w:w="1440"/>
            <w:vAlign w:val="center"/>
          </w:tcPr>
          <w:p>
            <w:r>
              <w:rPr>
                <w:sz w:val="16"/>
              </w:rPr>
              <w:t>0.766 (0.737-0.794)</w:t>
            </w:r>
          </w:p>
        </w:tc>
        <w:tc>
          <w:tcPr>
            <w:tcW w:type="dxa" w:w="1440"/>
            <w:vAlign w:val="center"/>
          </w:tcPr>
          <w:p>
            <w:r>
              <w:rPr>
                <w:sz w:val="16"/>
              </w:rPr>
              <w:t>0.707 (0.666-0.751)</w:t>
            </w:r>
          </w:p>
        </w:tc>
        <w:tc>
          <w:tcPr>
            <w:tcW w:type="dxa" w:w="1440"/>
            <w:vAlign w:val="center"/>
          </w:tcPr>
          <w:p>
            <w:r>
              <w:rPr>
                <w:sz w:val="16"/>
              </w:rPr>
              <w:t>0.652</w:t>
            </w:r>
          </w:p>
        </w:tc>
      </w:tr>
    </w:tbl>
    <w:p>
      <w:pPr>
        <w:pStyle w:val="Heading2"/>
      </w:pPr>
      <w:r>
        <w:t>Table 4. Macro-level Model Comparison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Pr>
                <w:b/>
                <w:sz w:val="16"/>
              </w:rPr>
              <w:t>model</w:t>
            </w:r>
          </w:p>
        </w:tc>
        <w:tc>
          <w:tcPr>
            <w:tcW w:type="dxa" w:w="1440"/>
            <w:vAlign w:val="center"/>
            <w:shd w:fill="D9EAF7"/>
          </w:tcPr>
          <w:p>
            <w:r>
              <w:rPr>
                <w:b/>
                <w:sz w:val="16"/>
              </w:rPr>
              <w:t>internal AUROC</w:t>
            </w:r>
          </w:p>
        </w:tc>
        <w:tc>
          <w:tcPr>
            <w:tcW w:type="dxa" w:w="1440"/>
            <w:vAlign w:val="center"/>
            <w:shd w:fill="D9EAF7"/>
          </w:tcPr>
          <w:p>
            <w:r>
              <w:rPr>
                <w:b/>
                <w:sz w:val="16"/>
              </w:rPr>
              <w:t>internal AUPRC</w:t>
            </w:r>
          </w:p>
        </w:tc>
        <w:tc>
          <w:tcPr>
            <w:tcW w:type="dxa" w:w="1440"/>
            <w:vAlign w:val="center"/>
            <w:shd w:fill="D9EAF7"/>
          </w:tcPr>
          <w:p>
            <w:r>
              <w:rPr>
                <w:b/>
                <w:sz w:val="16"/>
              </w:rPr>
              <w:t>external AUROC</w:t>
            </w:r>
          </w:p>
        </w:tc>
        <w:tc>
          <w:tcPr>
            <w:tcW w:type="dxa" w:w="1440"/>
            <w:vAlign w:val="center"/>
            <w:shd w:fill="D9EAF7"/>
          </w:tcPr>
          <w:p>
            <w:r>
              <w:rPr>
                <w:b/>
                <w:sz w:val="16"/>
              </w:rPr>
              <w:t>external AUPRC</w:t>
            </w:r>
          </w:p>
        </w:tc>
        <w:tc>
          <w:tcPr>
            <w:tcW w:type="dxa" w:w="1440"/>
            <w:vAlign w:val="center"/>
            <w:shd w:fill="D9EAF7"/>
          </w:tcPr>
          <w:p>
            <w:r>
              <w:rPr>
                <w:b/>
                <w:sz w:val="16"/>
              </w:rPr>
              <w:t>AUROC drop</w:t>
            </w:r>
          </w:p>
        </w:tc>
        <w:tc>
          <w:tcPr>
            <w:tcW w:type="dxa" w:w="1440"/>
            <w:vAlign w:val="center"/>
            <w:shd w:fill="D9EAF7"/>
          </w:tcPr>
          <w:p>
            <w:r>
              <w:rPr>
                <w:b/>
                <w:sz w:val="16"/>
              </w:rPr>
              <w:t>AUPRC drop</w:t>
            </w:r>
          </w:p>
        </w:tc>
      </w:tr>
      <w:tr>
        <w:tc>
          <w:tcPr>
            <w:tcW w:type="dxa" w:w="1440"/>
            <w:vAlign w:val="center"/>
          </w:tcPr>
          <w:p>
            <w:r>
              <w:rPr>
                <w:sz w:val="16"/>
              </w:rPr>
              <w:t>DenseNet121</w:t>
            </w:r>
          </w:p>
        </w:tc>
        <w:tc>
          <w:tcPr>
            <w:tcW w:type="dxa" w:w="1440"/>
            <w:vAlign w:val="center"/>
          </w:tcPr>
          <w:p>
            <w:r>
              <w:rPr>
                <w:sz w:val="16"/>
              </w:rPr>
              <w:t>0.680</w:t>
            </w:r>
          </w:p>
        </w:tc>
        <w:tc>
          <w:tcPr>
            <w:tcW w:type="dxa" w:w="1440"/>
            <w:vAlign w:val="center"/>
          </w:tcPr>
          <w:p>
            <w:r>
              <w:rPr>
                <w:sz w:val="16"/>
              </w:rPr>
              <w:t>0.214</w:t>
            </w:r>
          </w:p>
        </w:tc>
        <w:tc>
          <w:tcPr>
            <w:tcW w:type="dxa" w:w="1440"/>
            <w:vAlign w:val="center"/>
          </w:tcPr>
          <w:p>
            <w:r>
              <w:rPr>
                <w:sz w:val="16"/>
              </w:rPr>
              <w:t>0.743</w:t>
            </w:r>
          </w:p>
        </w:tc>
        <w:tc>
          <w:tcPr>
            <w:tcW w:type="dxa" w:w="1440"/>
            <w:vAlign w:val="center"/>
          </w:tcPr>
          <w:p>
            <w:r>
              <w:rPr>
                <w:sz w:val="16"/>
              </w:rPr>
              <w:t>0.434</w:t>
            </w:r>
          </w:p>
        </w:tc>
        <w:tc>
          <w:tcPr>
            <w:tcW w:type="dxa" w:w="1440"/>
            <w:vAlign w:val="center"/>
          </w:tcPr>
          <w:p>
            <w:r>
              <w:rPr>
                <w:sz w:val="16"/>
              </w:rPr>
              <w:t>-0.062</w:t>
            </w:r>
          </w:p>
        </w:tc>
        <w:tc>
          <w:tcPr>
            <w:tcW w:type="dxa" w:w="1440"/>
            <w:vAlign w:val="center"/>
          </w:tcPr>
          <w:p>
            <w:r>
              <w:rPr>
                <w:sz w:val="16"/>
              </w:rPr>
              <w:t>-0.221</w:t>
            </w:r>
          </w:p>
        </w:tc>
      </w:tr>
      <w:tr>
        <w:tc>
          <w:tcPr>
            <w:tcW w:type="dxa" w:w="1440"/>
            <w:vAlign w:val="center"/>
          </w:tcPr>
          <w:p>
            <w:r>
              <w:rPr>
                <w:sz w:val="16"/>
              </w:rPr>
              <w:t>ResNet50</w:t>
            </w:r>
          </w:p>
        </w:tc>
        <w:tc>
          <w:tcPr>
            <w:tcW w:type="dxa" w:w="1440"/>
            <w:vAlign w:val="center"/>
          </w:tcPr>
          <w:p>
            <w:r>
              <w:rPr>
                <w:sz w:val="16"/>
              </w:rPr>
              <w:t>0.647</w:t>
            </w:r>
          </w:p>
        </w:tc>
        <w:tc>
          <w:tcPr>
            <w:tcW w:type="dxa" w:w="1440"/>
            <w:vAlign w:val="center"/>
          </w:tcPr>
          <w:p>
            <w:r>
              <w:rPr>
                <w:sz w:val="16"/>
              </w:rPr>
              <w:t>0.200</w:t>
            </w:r>
          </w:p>
        </w:tc>
        <w:tc>
          <w:tcPr>
            <w:tcW w:type="dxa" w:w="1440"/>
            <w:vAlign w:val="center"/>
          </w:tcPr>
          <w:p>
            <w:r>
              <w:rPr>
                <w:sz w:val="16"/>
              </w:rPr>
              <w:t>0.728</w:t>
            </w:r>
          </w:p>
        </w:tc>
        <w:tc>
          <w:tcPr>
            <w:tcW w:type="dxa" w:w="1440"/>
            <w:vAlign w:val="center"/>
          </w:tcPr>
          <w:p>
            <w:r>
              <w:rPr>
                <w:sz w:val="16"/>
              </w:rPr>
              <w:t>0.418</w:t>
            </w:r>
          </w:p>
        </w:tc>
        <w:tc>
          <w:tcPr>
            <w:tcW w:type="dxa" w:w="1440"/>
            <w:vAlign w:val="center"/>
          </w:tcPr>
          <w:p>
            <w:r>
              <w:rPr>
                <w:sz w:val="16"/>
              </w:rPr>
              <w:t>-0.081</w:t>
            </w:r>
          </w:p>
        </w:tc>
        <w:tc>
          <w:tcPr>
            <w:tcW w:type="dxa" w:w="1440"/>
            <w:vAlign w:val="center"/>
          </w:tcPr>
          <w:p>
            <w:r>
              <w:rPr>
                <w:sz w:val="16"/>
              </w:rPr>
              <w:t>-0.218</w:t>
            </w:r>
          </w:p>
        </w:tc>
      </w:tr>
      <w:tr>
        <w:tc>
          <w:tcPr>
            <w:tcW w:type="dxa" w:w="1440"/>
            <w:vAlign w:val="center"/>
          </w:tcPr>
          <w:p>
            <w:r>
              <w:rPr>
                <w:sz w:val="16"/>
              </w:rPr>
              <w:t>EfficientNet-B0</w:t>
            </w:r>
          </w:p>
        </w:tc>
        <w:tc>
          <w:tcPr>
            <w:tcW w:type="dxa" w:w="1440"/>
            <w:vAlign w:val="center"/>
          </w:tcPr>
          <w:p>
            <w:r>
              <w:rPr>
                <w:sz w:val="16"/>
              </w:rPr>
              <w:t>0.656</w:t>
            </w:r>
          </w:p>
        </w:tc>
        <w:tc>
          <w:tcPr>
            <w:tcW w:type="dxa" w:w="1440"/>
            <w:vAlign w:val="center"/>
          </w:tcPr>
          <w:p>
            <w:r>
              <w:rPr>
                <w:sz w:val="16"/>
              </w:rPr>
              <w:t>0.218</w:t>
            </w:r>
          </w:p>
        </w:tc>
        <w:tc>
          <w:tcPr>
            <w:tcW w:type="dxa" w:w="1440"/>
            <w:vAlign w:val="center"/>
          </w:tcPr>
          <w:p>
            <w:r>
              <w:rPr>
                <w:sz w:val="16"/>
              </w:rPr>
              <w:t>0.656</w:t>
            </w:r>
          </w:p>
        </w:tc>
        <w:tc>
          <w:tcPr>
            <w:tcW w:type="dxa" w:w="1440"/>
            <w:vAlign w:val="center"/>
          </w:tcPr>
          <w:p>
            <w:r>
              <w:rPr>
                <w:sz w:val="16"/>
              </w:rPr>
              <w:t>0.370</w:t>
            </w:r>
          </w:p>
        </w:tc>
        <w:tc>
          <w:tcPr>
            <w:tcW w:type="dxa" w:w="1440"/>
            <w:vAlign w:val="center"/>
          </w:tcPr>
          <w:p>
            <w:r>
              <w:rPr>
                <w:sz w:val="16"/>
              </w:rPr>
              <w:t>-0.000</w:t>
            </w:r>
          </w:p>
        </w:tc>
        <w:tc>
          <w:tcPr>
            <w:tcW w:type="dxa" w:w="1440"/>
            <w:vAlign w:val="center"/>
          </w:tcPr>
          <w:p>
            <w:r>
              <w:rPr>
                <w:sz w:val="16"/>
              </w:rPr>
              <w:t>-0.153</w:t>
            </w:r>
          </w:p>
        </w:tc>
      </w:tr>
    </w:tbl>
    <w:p>
      <w:pPr>
        <w:pStyle w:val="Heading2"/>
      </w:pPr>
      <w:r>
        <w:t>Table 5. Sensitivity and Subgroup Analysis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Pr>
                <w:b/>
                <w:sz w:val="16"/>
              </w:rPr>
              <w:t>subgroup_variable</w:t>
            </w:r>
          </w:p>
        </w:tc>
        <w:tc>
          <w:tcPr>
            <w:tcW w:type="dxa" w:w="1260"/>
            <w:vAlign w:val="center"/>
            <w:shd w:fill="D9EAF7"/>
          </w:tcPr>
          <w:p>
            <w:r>
              <w:rPr>
                <w:b/>
                <w:sz w:val="16"/>
              </w:rPr>
              <w:t>subgroup</w:t>
            </w:r>
          </w:p>
        </w:tc>
        <w:tc>
          <w:tcPr>
            <w:tcW w:type="dxa" w:w="1260"/>
            <w:vAlign w:val="center"/>
            <w:shd w:fill="D9EAF7"/>
          </w:tcPr>
          <w:p>
            <w:r>
              <w:rPr>
                <w:b/>
                <w:sz w:val="16"/>
              </w:rPr>
              <w:t>n_images</w:t>
            </w:r>
          </w:p>
        </w:tc>
        <w:tc>
          <w:tcPr>
            <w:tcW w:type="dxa" w:w="1260"/>
            <w:vAlign w:val="center"/>
            <w:shd w:fill="D9EAF7"/>
          </w:tcPr>
          <w:p>
            <w:r>
              <w:rPr>
                <w:b/>
                <w:sz w:val="16"/>
              </w:rPr>
              <w:t>n_patients</w:t>
            </w:r>
          </w:p>
        </w:tc>
        <w:tc>
          <w:tcPr>
            <w:tcW w:type="dxa" w:w="1260"/>
            <w:vAlign w:val="center"/>
            <w:shd w:fill="D9EAF7"/>
          </w:tcPr>
          <w:p>
            <w:r>
              <w:rPr>
                <w:b/>
                <w:sz w:val="16"/>
              </w:rPr>
              <w:t>macro_auroc</w:t>
            </w:r>
          </w:p>
        </w:tc>
        <w:tc>
          <w:tcPr>
            <w:tcW w:type="dxa" w:w="1260"/>
            <w:vAlign w:val="center"/>
            <w:shd w:fill="D9EAF7"/>
          </w:tcPr>
          <w:p>
            <w:r>
              <w:rPr>
                <w:b/>
                <w:sz w:val="16"/>
              </w:rPr>
              <w:t>macro_auprc</w:t>
            </w:r>
          </w:p>
        </w:tc>
        <w:tc>
          <w:tcPr>
            <w:tcW w:type="dxa" w:w="1260"/>
            <w:vAlign w:val="center"/>
            <w:shd w:fill="D9EAF7"/>
          </w:tcPr>
          <w:p>
            <w:r>
              <w:rPr>
                <w:b/>
                <w:sz w:val="16"/>
              </w:rPr>
              <w:t>macro_f1</w:t>
            </w:r>
          </w:p>
        </w:tc>
        <w:tc>
          <w:tcPr>
            <w:tcW w:type="dxa" w:w="1260"/>
            <w:vAlign w:val="center"/>
            <w:shd w:fill="D9EAF7"/>
          </w:tcPr>
          <w:p>
            <w:r>
              <w:rPr>
                <w:b/>
                <w:sz w:val="16"/>
              </w:rPr>
              <w:t>macro_accuracy</w:t>
            </w:r>
          </w:p>
        </w:tc>
      </w:tr>
      <w:tr>
        <w:tc>
          <w:tcPr>
            <w:tcW w:type="dxa" w:w="1260"/>
            <w:vAlign w:val="center"/>
          </w:tcPr>
          <w:p>
            <w:r>
              <w:rPr>
                <w:sz w:val="16"/>
              </w:rPr>
              <w:t>sex</w:t>
            </w:r>
          </w:p>
        </w:tc>
        <w:tc>
          <w:tcPr>
            <w:tcW w:type="dxa" w:w="1260"/>
            <w:vAlign w:val="center"/>
          </w:tcPr>
          <w:p>
            <w:r>
              <w:rPr>
                <w:sz w:val="16"/>
              </w:rPr>
              <w:t>F</w:t>
            </w:r>
          </w:p>
        </w:tc>
        <w:tc>
          <w:tcPr>
            <w:tcW w:type="dxa" w:w="1260"/>
            <w:vAlign w:val="center"/>
          </w:tcPr>
          <w:p>
            <w:r>
              <w:rPr>
                <w:sz w:val="16"/>
              </w:rPr>
              <w:t>299</w:t>
            </w:r>
          </w:p>
        </w:tc>
        <w:tc>
          <w:tcPr>
            <w:tcW w:type="dxa" w:w="1260"/>
            <w:vAlign w:val="center"/>
          </w:tcPr>
          <w:p>
            <w:r>
              <w:rPr>
                <w:sz w:val="16"/>
              </w:rPr>
              <w:t>160</w:t>
            </w:r>
          </w:p>
        </w:tc>
        <w:tc>
          <w:tcPr>
            <w:tcW w:type="dxa" w:w="1260"/>
            <w:vAlign w:val="center"/>
          </w:tcPr>
          <w:p>
            <w:r>
              <w:rPr>
                <w:sz w:val="16"/>
              </w:rPr>
              <w:t>0.681</w:t>
            </w:r>
          </w:p>
        </w:tc>
        <w:tc>
          <w:tcPr>
            <w:tcW w:type="dxa" w:w="1260"/>
            <w:vAlign w:val="center"/>
          </w:tcPr>
          <w:p>
            <w:r>
              <w:rPr>
                <w:sz w:val="16"/>
              </w:rPr>
              <w:t>0.246</w:t>
            </w:r>
          </w:p>
        </w:tc>
        <w:tc>
          <w:tcPr>
            <w:tcW w:type="dxa" w:w="1260"/>
            <w:vAlign w:val="center"/>
          </w:tcPr>
          <w:p>
            <w:r>
              <w:rPr>
                <w:sz w:val="16"/>
              </w:rPr>
              <w:t>0.265</w:t>
            </w:r>
          </w:p>
        </w:tc>
        <w:tc>
          <w:tcPr>
            <w:tcW w:type="dxa" w:w="1260"/>
            <w:vAlign w:val="center"/>
          </w:tcPr>
          <w:p>
            <w:r>
              <w:rPr>
                <w:sz w:val="16"/>
              </w:rPr>
              <w:t>0.752</w:t>
            </w:r>
          </w:p>
        </w:tc>
      </w:tr>
      <w:tr>
        <w:tc>
          <w:tcPr>
            <w:tcW w:type="dxa" w:w="1260"/>
            <w:vAlign w:val="center"/>
          </w:tcPr>
          <w:p>
            <w:r>
              <w:rPr>
                <w:sz w:val="16"/>
              </w:rPr>
              <w:t>sex</w:t>
            </w:r>
          </w:p>
        </w:tc>
        <w:tc>
          <w:tcPr>
            <w:tcW w:type="dxa" w:w="1260"/>
            <w:vAlign w:val="center"/>
          </w:tcPr>
          <w:p>
            <w:r>
              <w:rPr>
                <w:sz w:val="16"/>
              </w:rPr>
              <w:t>M</w:t>
            </w:r>
          </w:p>
        </w:tc>
        <w:tc>
          <w:tcPr>
            <w:tcW w:type="dxa" w:w="1260"/>
            <w:vAlign w:val="center"/>
          </w:tcPr>
          <w:p>
            <w:r>
              <w:rPr>
                <w:sz w:val="16"/>
              </w:rPr>
              <w:t>440</w:t>
            </w:r>
          </w:p>
        </w:tc>
        <w:tc>
          <w:tcPr>
            <w:tcW w:type="dxa" w:w="1260"/>
            <w:vAlign w:val="center"/>
          </w:tcPr>
          <w:p>
            <w:r>
              <w:rPr>
                <w:sz w:val="16"/>
              </w:rPr>
              <w:t>219</w:t>
            </w:r>
          </w:p>
        </w:tc>
        <w:tc>
          <w:tcPr>
            <w:tcW w:type="dxa" w:w="1260"/>
            <w:vAlign w:val="center"/>
          </w:tcPr>
          <w:p>
            <w:r>
              <w:rPr>
                <w:sz w:val="16"/>
              </w:rPr>
              <w:t>0.674</w:t>
            </w:r>
          </w:p>
        </w:tc>
        <w:tc>
          <w:tcPr>
            <w:tcW w:type="dxa" w:w="1260"/>
            <w:vAlign w:val="center"/>
          </w:tcPr>
          <w:p>
            <w:r>
              <w:rPr>
                <w:sz w:val="16"/>
              </w:rPr>
              <w:t>0.189</w:t>
            </w:r>
          </w:p>
        </w:tc>
        <w:tc>
          <w:tcPr>
            <w:tcW w:type="dxa" w:w="1260"/>
            <w:vAlign w:val="center"/>
          </w:tcPr>
          <w:p>
            <w:r>
              <w:rPr>
                <w:sz w:val="16"/>
              </w:rPr>
              <w:t>0.225</w:t>
            </w:r>
          </w:p>
        </w:tc>
        <w:tc>
          <w:tcPr>
            <w:tcW w:type="dxa" w:w="1260"/>
            <w:vAlign w:val="center"/>
          </w:tcPr>
          <w:p>
            <w:r>
              <w:rPr>
                <w:sz w:val="16"/>
              </w:rPr>
              <w:t>0.786</w:t>
            </w:r>
          </w:p>
        </w:tc>
      </w:tr>
      <w:tr>
        <w:tc>
          <w:tcPr>
            <w:tcW w:type="dxa" w:w="1260"/>
            <w:vAlign w:val="center"/>
          </w:tcPr>
          <w:p>
            <w:r>
              <w:rPr>
                <w:sz w:val="16"/>
              </w:rPr>
              <w:t>view_position</w:t>
            </w:r>
          </w:p>
        </w:tc>
        <w:tc>
          <w:tcPr>
            <w:tcW w:type="dxa" w:w="1260"/>
            <w:vAlign w:val="center"/>
          </w:tcPr>
          <w:p>
            <w:r>
              <w:rPr>
                <w:sz w:val="16"/>
              </w:rPr>
              <w:t>AP</w:t>
            </w:r>
          </w:p>
        </w:tc>
        <w:tc>
          <w:tcPr>
            <w:tcW w:type="dxa" w:w="1260"/>
            <w:vAlign w:val="center"/>
          </w:tcPr>
          <w:p>
            <w:r>
              <w:rPr>
                <w:sz w:val="16"/>
              </w:rPr>
              <w:t>356</w:t>
            </w:r>
          </w:p>
        </w:tc>
        <w:tc>
          <w:tcPr>
            <w:tcW w:type="dxa" w:w="1260"/>
            <w:vAlign w:val="center"/>
          </w:tcPr>
          <w:p>
            <w:r>
              <w:rPr>
                <w:sz w:val="16"/>
              </w:rPr>
              <w:t>220</w:t>
            </w:r>
          </w:p>
        </w:tc>
        <w:tc>
          <w:tcPr>
            <w:tcW w:type="dxa" w:w="1260"/>
            <w:vAlign w:val="center"/>
          </w:tcPr>
          <w:p>
            <w:r>
              <w:rPr>
                <w:sz w:val="16"/>
              </w:rPr>
              <w:t>0.652</w:t>
            </w:r>
          </w:p>
        </w:tc>
        <w:tc>
          <w:tcPr>
            <w:tcW w:type="dxa" w:w="1260"/>
            <w:vAlign w:val="center"/>
          </w:tcPr>
          <w:p>
            <w:r>
              <w:rPr>
                <w:sz w:val="16"/>
              </w:rPr>
              <w:t>0.202</w:t>
            </w:r>
          </w:p>
        </w:tc>
        <w:tc>
          <w:tcPr>
            <w:tcW w:type="dxa" w:w="1260"/>
            <w:vAlign w:val="center"/>
          </w:tcPr>
          <w:p>
            <w:r>
              <w:rPr>
                <w:sz w:val="16"/>
              </w:rPr>
              <w:t>0.229</w:t>
            </w:r>
          </w:p>
        </w:tc>
        <w:tc>
          <w:tcPr>
            <w:tcW w:type="dxa" w:w="1260"/>
            <w:vAlign w:val="center"/>
          </w:tcPr>
          <w:p>
            <w:r>
              <w:rPr>
                <w:sz w:val="16"/>
              </w:rPr>
              <w:t>0.690</w:t>
            </w:r>
          </w:p>
        </w:tc>
      </w:tr>
      <w:tr>
        <w:tc>
          <w:tcPr>
            <w:tcW w:type="dxa" w:w="1260"/>
            <w:vAlign w:val="center"/>
          </w:tcPr>
          <w:p>
            <w:r>
              <w:rPr>
                <w:sz w:val="16"/>
              </w:rPr>
              <w:t>view_position</w:t>
            </w:r>
          </w:p>
        </w:tc>
        <w:tc>
          <w:tcPr>
            <w:tcW w:type="dxa" w:w="1260"/>
            <w:vAlign w:val="center"/>
          </w:tcPr>
          <w:p>
            <w:r>
              <w:rPr>
                <w:sz w:val="16"/>
              </w:rPr>
              <w:t>PA</w:t>
            </w:r>
          </w:p>
        </w:tc>
        <w:tc>
          <w:tcPr>
            <w:tcW w:type="dxa" w:w="1260"/>
            <w:vAlign w:val="center"/>
          </w:tcPr>
          <w:p>
            <w:r>
              <w:rPr>
                <w:sz w:val="16"/>
              </w:rPr>
              <w:t>383</w:t>
            </w:r>
          </w:p>
        </w:tc>
        <w:tc>
          <w:tcPr>
            <w:tcW w:type="dxa" w:w="1260"/>
            <w:vAlign w:val="center"/>
          </w:tcPr>
          <w:p>
            <w:r>
              <w:rPr>
                <w:sz w:val="16"/>
              </w:rPr>
              <w:t>249</w:t>
            </w:r>
          </w:p>
        </w:tc>
        <w:tc>
          <w:tcPr>
            <w:tcW w:type="dxa" w:w="1260"/>
            <w:vAlign w:val="center"/>
          </w:tcPr>
          <w:p>
            <w:r>
              <w:rPr>
                <w:sz w:val="16"/>
              </w:rPr>
              <w:t>0.678</w:t>
            </w:r>
          </w:p>
        </w:tc>
        <w:tc>
          <w:tcPr>
            <w:tcW w:type="dxa" w:w="1260"/>
            <w:vAlign w:val="center"/>
          </w:tcPr>
          <w:p>
            <w:r>
              <w:rPr>
                <w:sz w:val="16"/>
              </w:rPr>
              <w:t>0.232</w:t>
            </w:r>
          </w:p>
        </w:tc>
        <w:tc>
          <w:tcPr>
            <w:tcW w:type="dxa" w:w="1260"/>
            <w:vAlign w:val="center"/>
          </w:tcPr>
          <w:p>
            <w:r>
              <w:rPr>
                <w:sz w:val="16"/>
              </w:rPr>
              <w:t>0.241</w:t>
            </w:r>
          </w:p>
        </w:tc>
        <w:tc>
          <w:tcPr>
            <w:tcW w:type="dxa" w:w="1260"/>
            <w:vAlign w:val="center"/>
          </w:tcPr>
          <w:p>
            <w:r>
              <w:rPr>
                <w:sz w:val="16"/>
              </w:rPr>
              <w:t>0.849</w:t>
            </w:r>
          </w:p>
        </w:tc>
      </w:tr>
    </w:tbl>
    <w:p>
      <w:pPr>
        <w:pStyle w:val="Heading1"/>
      </w:pPr>
      <w:r>
        <w:t>Figures</w:t>
      </w:r>
    </w:p>
    <w:p>
      <w:pPr>
        <w:pStyle w:val="Heading2"/>
      </w:pPr>
      <w:r>
        <w:t>Figure 1. Study Workflow</w:t>
      </w:r>
    </w:p>
    <w:p>
      <w:pPr>
        <w:jc w:val="center"/>
      </w:pPr>
      <w:r>
        <w:drawing>
          <wp:inline xmlns:a="http://schemas.openxmlformats.org/drawingml/2006/main" xmlns:pic="http://schemas.openxmlformats.org/drawingml/2006/picture">
            <wp:extent cx="5943600" cy="1651000"/>
            <wp:docPr id="1" name="Picture 1"/>
            <wp:cNvGraphicFramePr>
              <a:graphicFrameLocks noChangeAspect="1"/>
            </wp:cNvGraphicFramePr>
            <a:graphic>
              <a:graphicData uri="http://schemas.openxmlformats.org/drawingml/2006/picture">
                <pic:pic>
                  <pic:nvPicPr>
                    <pic:cNvPr id="0" name="figure1_study_workflow_large.jpg"/>
                    <pic:cNvPicPr/>
                  </pic:nvPicPr>
                  <pic:blipFill>
                    <a:blip r:embed="rId9"/>
                    <a:stretch>
                      <a:fillRect/>
                    </a:stretch>
                  </pic:blipFill>
                  <pic:spPr>
                    <a:xfrm>
                      <a:off x="0" y="0"/>
                      <a:ext cx="5943600" cy="1651000"/>
                    </a:xfrm>
                    <a:prstGeom prst="rect"/>
                  </pic:spPr>
                </pic:pic>
              </a:graphicData>
            </a:graphic>
          </wp:inline>
        </w:drawing>
      </w:r>
    </w:p>
    <w:p>
      <w:pPr>
        <w:pStyle w:val="Caption"/>
      </w:pPr>
      <w:r>
        <w:t>Patient-level NIH development workflow with independent VinDr-derived external validation.</w:t>
      </w:r>
    </w:p>
    <w:p>
      <w:pPr>
        <w:pStyle w:val="Heading2"/>
      </w:pPr>
      <w:r>
        <w:t>Figure 2. Internal vs External AUROC/AUPRC</w:t>
      </w:r>
    </w:p>
    <w:p>
      <w:pPr>
        <w:jc w:val="center"/>
      </w:pPr>
      <w:r>
        <w:drawing>
          <wp:inline xmlns:a="http://schemas.openxmlformats.org/drawingml/2006/main" xmlns:pic="http://schemas.openxmlformats.org/drawingml/2006/picture">
            <wp:extent cx="5943600" cy="2836718"/>
            <wp:docPr id="2" name="Picture 2"/>
            <wp:cNvGraphicFramePr>
              <a:graphicFrameLocks noChangeAspect="1"/>
            </wp:cNvGraphicFramePr>
            <a:graphic>
              <a:graphicData uri="http://schemas.openxmlformats.org/drawingml/2006/picture">
                <pic:pic>
                  <pic:nvPicPr>
                    <pic:cNvPr id="0" name="figure2_internal_vs_external_auroc_auprc_ci.jpg"/>
                    <pic:cNvPicPr/>
                  </pic:nvPicPr>
                  <pic:blipFill>
                    <a:blip r:embed="rId10"/>
                    <a:stretch>
                      <a:fillRect/>
                    </a:stretch>
                  </pic:blipFill>
                  <pic:spPr>
                    <a:xfrm>
                      <a:off x="0" y="0"/>
                      <a:ext cx="5943600" cy="2836718"/>
                    </a:xfrm>
                    <a:prstGeom prst="rect"/>
                  </pic:spPr>
                </pic:pic>
              </a:graphicData>
            </a:graphic>
          </wp:inline>
        </w:drawing>
      </w:r>
    </w:p>
    <w:p>
      <w:pPr>
        <w:pStyle w:val="Caption"/>
      </w:pPr>
      <w:r>
        <w:t>Label-wise DenseNet121 internal and external discrimination metrics.</w:t>
      </w:r>
    </w:p>
    <w:p>
      <w:pPr>
        <w:pStyle w:val="Heading2"/>
      </w:pPr>
      <w:r>
        <w:t>Figure 3. Calibration Curves</w:t>
      </w:r>
    </w:p>
    <w:p>
      <w:pPr>
        <w:jc w:val="center"/>
      </w:pPr>
      <w:r>
        <w:drawing>
          <wp:inline xmlns:a="http://schemas.openxmlformats.org/drawingml/2006/main" xmlns:pic="http://schemas.openxmlformats.org/drawingml/2006/picture">
            <wp:extent cx="5943600" cy="2859464"/>
            <wp:docPr id="3" name="Picture 3"/>
            <wp:cNvGraphicFramePr>
              <a:graphicFrameLocks noChangeAspect="1"/>
            </wp:cNvGraphicFramePr>
            <a:graphic>
              <a:graphicData uri="http://schemas.openxmlformats.org/drawingml/2006/picture">
                <pic:pic>
                  <pic:nvPicPr>
                    <pic:cNvPr id="0" name="figure3_calibration_curves_large.jpg"/>
                    <pic:cNvPicPr/>
                  </pic:nvPicPr>
                  <pic:blipFill>
                    <a:blip r:embed="rId11"/>
                    <a:stretch>
                      <a:fillRect/>
                    </a:stretch>
                  </pic:blipFill>
                  <pic:spPr>
                    <a:xfrm>
                      <a:off x="0" y="0"/>
                      <a:ext cx="5943600" cy="2859464"/>
                    </a:xfrm>
                    <a:prstGeom prst="rect"/>
                  </pic:spPr>
                </pic:pic>
              </a:graphicData>
            </a:graphic>
          </wp:inline>
        </w:drawing>
      </w:r>
    </w:p>
    <w:p>
      <w:pPr>
        <w:pStyle w:val="Caption"/>
      </w:pPr>
      <w:r>
        <w:t>Reliability diagrams after NIH-only calibration fitting and transfer.</w:t>
      </w:r>
    </w:p>
    <w:p>
      <w:pPr>
        <w:pStyle w:val="Heading2"/>
      </w:pPr>
      <w:r>
        <w:t>Figure 4. Grad-CAM++ Failure-mode Examples</w:t>
      </w:r>
    </w:p>
    <w:p>
      <w:pPr>
        <w:jc w:val="center"/>
      </w:pPr>
      <w:r>
        <w:drawing>
          <wp:inline xmlns:a="http://schemas.openxmlformats.org/drawingml/2006/main" xmlns:pic="http://schemas.openxmlformats.org/drawingml/2006/picture">
            <wp:extent cx="5943600" cy="2600325"/>
            <wp:docPr id="4" name="Picture 4"/>
            <wp:cNvGraphicFramePr>
              <a:graphicFrameLocks noChangeAspect="1"/>
            </wp:cNvGraphicFramePr>
            <a:graphic>
              <a:graphicData uri="http://schemas.openxmlformats.org/drawingml/2006/picture">
                <pic:pic>
                  <pic:nvPicPr>
                    <pic:cNvPr id="0" name="figure4_gradcam_failure_modes_large.jpg"/>
                    <pic:cNvPicPr/>
                  </pic:nvPicPr>
                  <pic:blipFill>
                    <a:blip r:embed="rId12"/>
                    <a:stretch>
                      <a:fillRect/>
                    </a:stretch>
                  </pic:blipFill>
                  <pic:spPr>
                    <a:xfrm>
                      <a:off x="0" y="0"/>
                      <a:ext cx="5943600" cy="2600325"/>
                    </a:xfrm>
                    <a:prstGeom prst="rect"/>
                  </pic:spPr>
                </pic:pic>
              </a:graphicData>
            </a:graphic>
          </wp:inline>
        </w:drawing>
      </w:r>
    </w:p>
    <w:p>
      <w:pPr>
        <w:pStyle w:val="Caption"/>
      </w:pPr>
      <w:r>
        <w:t>Representative TP/FP/FN/TN heatmap panels for qualitative failure-mode analysis.</w:t>
      </w:r>
    </w:p>
    <w:p>
      <w:pPr>
        <w:pStyle w:val="Heading2"/>
      </w:pPr>
      <w:r>
        <w:t>Figure 5. External Performance Drop by Label</w:t>
      </w:r>
    </w:p>
    <w:p>
      <w:pPr>
        <w:jc w:val="center"/>
      </w:pPr>
      <w:r>
        <w:drawing>
          <wp:inline xmlns:a="http://schemas.openxmlformats.org/drawingml/2006/main" xmlns:pic="http://schemas.openxmlformats.org/drawingml/2006/picture">
            <wp:extent cx="5943600" cy="3302000"/>
            <wp:docPr id="5" name="Picture 5"/>
            <wp:cNvGraphicFramePr>
              <a:graphicFrameLocks noChangeAspect="1"/>
            </wp:cNvGraphicFramePr>
            <a:graphic>
              <a:graphicData uri="http://schemas.openxmlformats.org/drawingml/2006/picture">
                <pic:pic>
                  <pic:nvPicPr>
                    <pic:cNvPr id="0" name="figure5_external_performance_drop_by_label.jpg"/>
                    <pic:cNvPicPr/>
                  </pic:nvPicPr>
                  <pic:blipFill>
                    <a:blip r:embed="rId13"/>
                    <a:stretch>
                      <a:fillRect/>
                    </a:stretch>
                  </pic:blipFill>
                  <pic:spPr>
                    <a:xfrm>
                      <a:off x="0" y="0"/>
                      <a:ext cx="5943600" cy="3302000"/>
                    </a:xfrm>
                    <a:prstGeom prst="rect"/>
                  </pic:spPr>
                </pic:pic>
              </a:graphicData>
            </a:graphic>
          </wp:inline>
        </w:drawing>
      </w:r>
    </w:p>
    <w:p>
      <w:pPr>
        <w:pStyle w:val="Caption"/>
      </w:pPr>
      <w:r>
        <w:t>Internal minus external AUROC; negative values indicate higher AUROC in the selected external subset.</w:t>
      </w:r>
    </w:p>
    <w:p>
      <w:pPr>
        <w:pStyle w:val="Heading1"/>
      </w:pPr>
      <w:r>
        <w:t>References</w:t>
      </w:r>
    </w:p>
    <w:p>
      <w:r>
        <w:t>1. Wang X, Peng Y, Lu L, Lu Z, Bagheri M, Summers RM. ChestX-ray8: Hospital-scale chest X-ray database and benchmarks on weakly-supervised classification and localization of common thorax diseases. CVPR. 2017.</w:t>
      </w:r>
    </w:p>
    <w:p>
      <w:r>
        <w:t>2. Nguyen HQ, Lam K, Le LT, et al. VinDr-CXR: An open dataset of chest X-rays with radiologist's annotations. Scientific Data. 2022;9:429.</w:t>
      </w:r>
    </w:p>
    <w:p>
      <w:r>
        <w:t>3. Huang G, Liu Z, van der Maaten L, Weinberger KQ. Densely connected convolutional networks. CVPR. 2017.</w:t>
      </w:r>
    </w:p>
    <w:p>
      <w:r>
        <w:t>4. He K, Zhang X, Ren S, Sun J. Deep residual learning for image recognition. CVPR. 2016.</w:t>
      </w:r>
    </w:p>
    <w:p>
      <w:r>
        <w:t>5. Guo C, Pleiss G, Sun Y, Weinberger KQ. On calibration of modern neural networks. ICML. 2017.</w:t>
      </w:r>
    </w:p>
    <w:p>
      <w:r>
        <w:t>6. Selvaraju RR, Cogswell M, Das A, Vedantam R, Parikh D, Batra D. Grad-CAM: Visual explanations from deep networks via gradient-based localization. ICCV. 2017.</w:t>
      </w:r>
    </w:p>
    <w:p>
      <w:r>
        <w:t>7. Tan M, Le QV. EfficientNet: Rethinking model scaling for convolutional neural networks. ICML. 2019.</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