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Route B Large Public-Dataset Validation Report: NIH ChestX-ray14 to VinDr-CXR/VinBigData-derived External Validation</w:t>
      </w:r>
    </w:p>
    <w:p>
      <w:r>
        <w:t>Evidence source: real public Hugging Face NIH ChestX-ray14 parquet subset and real public VinDr-CXR/VinBigData-derived PNG subset. No synthetic metrics were used. Thresholds were derived only from NIH validation. Calibration models were fitted only on NIH calibration.</w:t>
      </w:r>
    </w:p>
    <w:p>
      <w:pPr>
        <w:pStyle w:val="Heading1"/>
      </w:pPr>
      <w:r>
        <w:t>Executive Summary</w:t>
      </w:r>
    </w:p>
    <w:p>
      <w:r>
        <w:t>The upgraded Route B experiment expanded the development data to 5000 NIH images from 3795 patients and expanded external validation to 1000 VinDr-derived images. DenseNet121 completed 5 epochs; the best checkpoint was selected at epoch 2 by validation macro AUPRC (0.277). Internal macro AUROC/AUPRC were 0.680/0.214; external macro AUROC/AUPRC were 0.743/0.434.</w:t>
      </w:r>
    </w:p>
    <w:p>
      <w:r>
        <w:t>Architecture comparators were trained under the same NIH split and validation-threshold rule. ResNet50 internal macro AUROC/AUPRC were 0.647/0.200, and external macro AUROC/AUPRC were 0.728/0.418; EfficientNet-B0 internal macro AUROC/AUPRC were 0.656/0.218, and external macro AUROC/AUPRC were 0.656/0.370. These comparator results are reported as model-comparison evidence rather than replacing the prespecified DenseNet121 main analysis.</w:t>
      </w:r>
    </w:p>
    <w:p>
      <w:pPr>
        <w:pStyle w:val="Heading1"/>
      </w:pPr>
      <w:r>
        <w:t>Data Expansion Plan and Execution</w:t>
      </w:r>
    </w:p>
    <w:p>
      <w:r>
        <w:t>NIH expansion was performed by downloading multiple public Hugging Face parquet shards, extracting image bytes to PNG files, harmonizing target labels, and creating patient-level train/validation/calibration/internal-test splits.</w:t>
      </w:r>
    </w:p>
    <w:p>
      <w:r>
        <w:t>VinDr expansion was performed from a public VinDr-CXR/VinBigData-derived PNG mirror. Images were selected from available cached public files with enrichment for externally mappable labels and No Finding. VinDr images remained fully independent from NIH training, validation, threshold selection, and calibration fitting.</w:t>
      </w:r>
    </w:p>
    <w:p>
      <w:r>
        <w:t>The large-run project structure uses metadata_large/, splits_large/, predictions_large/, tables_large/, figures_large/, models_large/, logs_large/, and outputs_large/ so that the original small public-subset experiment remains intact as supplementary evidence.</w:t>
      </w:r>
    </w:p>
    <w:p>
      <w:pPr>
        <w:pStyle w:val="Heading1"/>
      </w:pPr>
      <w:r>
        <w:t>Methods to Update Manuscript</w:t>
      </w:r>
    </w:p>
    <w:p>
      <w:pPr>
        <w:pStyle w:val="ListBullet"/>
      </w:pPr>
      <w:r>
        <w:t>Title: describe the study as an expanded public-subset NIH to VinDr-CXR/VinBigData-derived external validation, not as a full official-cohort validation.</w:t>
      </w:r>
    </w:p>
    <w:p>
      <w:pPr>
        <w:pStyle w:val="ListBullet"/>
      </w:pPr>
      <w:r>
        <w:t>Abstract: replace small-subset values with large-run sample sizes, macro AUROC/AUPRC, calibration metrics, and Grad-CAM++ case count.</w:t>
      </w:r>
    </w:p>
    <w:p>
      <w:pPr>
        <w:pStyle w:val="ListBullet"/>
      </w:pPr>
      <w:r>
        <w:t>Methods: add Hugging Face parquet/PNG extraction details, patient-level splitting, validation-only thresholds, NIH-only calibration fitting, and external independence rules.</w:t>
      </w:r>
    </w:p>
    <w:p>
      <w:pPr>
        <w:pStyle w:val="ListBullet"/>
      </w:pPr>
      <w:r>
        <w:t>Results: use Table 1-5 and Figure 1-5 from tables_large/ and figures_large/ only.</w:t>
      </w:r>
    </w:p>
    <w:p>
      <w:pPr>
        <w:pStyle w:val="ListBullet"/>
      </w:pPr>
      <w:r>
        <w:t>Discussion: emphasize dataset shift, label-source heterogeneity, class imbalance, and calibration transfer limits.</w:t>
      </w:r>
    </w:p>
    <w:p>
      <w:pPr>
        <w:pStyle w:val="ListBullet"/>
      </w:pPr>
      <w:r>
        <w:t>Limitations: explicitly state that Edema and Pneumonia are unavailable as external labels in the VinDr-derived subset and should not support external primary claims.</w:t>
      </w:r>
    </w:p>
    <w:p>
      <w:pPr>
        <w:pStyle w:val="ListBullet"/>
      </w:pPr>
      <w:r>
        <w:t>Conclusion: keep claims limited to public-dataset validation and reproducible pipeline evidence; do not claim clinical readiness.</w:t>
      </w:r>
    </w:p>
    <w:p>
      <w:pPr>
        <w:pStyle w:val="Heading1"/>
      </w:pPr>
      <w:r>
        <w:t>Results</w:t>
      </w:r>
    </w:p>
    <w:p>
      <w:r>
        <w:t>Internal macro AUROC was 0.680 and macro AUPRC was 0.214. External macro AUROC was 0.743 and macro AUPRC was 0.434. The macro AUROC internal-minus-external difference was -0.062, indicating no observed AUROC degradation in this selected public external subset.</w:t>
      </w:r>
    </w:p>
    <w:p>
      <w:r>
        <w:t>Internal uncalibrated macro Brier score was 0.193, ECE was 0.269, and MCE was 0.539. Temperature scaling produced internal macro ECE 0.280 and external macro ECE 0.214. ECE improvement should be interpreted together with slope and intercept because Platt or isotonic methods can reduce bin-wise error while creating unstable probability-scale slopes in sparse or imbalanced labels.</w:t>
      </w:r>
    </w:p>
    <w:p>
      <w:r>
        <w:t>Grad-CAM++ generated 60 TP/FP/FN/TN examples across NIH internal and external validation for failure-mode review. These maps are not used as proof of clinical reasoning.</w:t>
      </w:r>
    </w:p>
    <w:p>
      <w:pPr>
        <w:pStyle w:val="Heading2"/>
      </w:pPr>
      <w:r>
        <w:t>Table 1. Dataset Characteristics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b/>
                <w:sz w:val="16"/>
              </w:rPr>
              <w:t>split</w:t>
            </w:r>
          </w:p>
        </w:tc>
        <w:tc>
          <w:tcPr>
            <w:tcW w:type="dxa" w:w="3360"/>
            <w:vAlign w:val="center"/>
            <w:shd w:fill="D9EAF7"/>
          </w:tcPr>
          <w:p>
            <w:r>
              <w:rPr>
                <w:b/>
                <w:sz w:val="16"/>
              </w:rPr>
              <w:t>n_patients</w:t>
            </w:r>
          </w:p>
        </w:tc>
        <w:tc>
          <w:tcPr>
            <w:tcW w:type="dxa" w:w="3360"/>
            <w:vAlign w:val="center"/>
            <w:shd w:fill="D9EAF7"/>
          </w:tcPr>
          <w:p>
            <w:r>
              <w:rPr>
                <w:b/>
                <w:sz w:val="16"/>
              </w:rPr>
              <w:t>n_images</w:t>
            </w:r>
          </w:p>
        </w:tc>
      </w:tr>
      <w:tr>
        <w:tc>
          <w:tcPr>
            <w:tcW w:type="dxa" w:w="3360"/>
            <w:vAlign w:val="center"/>
          </w:tcPr>
          <w:p>
            <w:r>
              <w:rPr>
                <w:sz w:val="16"/>
              </w:rPr>
              <w:t>calibration</w:t>
            </w:r>
          </w:p>
        </w:tc>
        <w:tc>
          <w:tcPr>
            <w:tcW w:type="dxa" w:w="3360"/>
            <w:vAlign w:val="center"/>
          </w:tcPr>
          <w:p>
            <w:r>
              <w:rPr>
                <w:sz w:val="16"/>
              </w:rPr>
              <w:t>379</w:t>
            </w:r>
          </w:p>
        </w:tc>
        <w:tc>
          <w:tcPr>
            <w:tcW w:type="dxa" w:w="3360"/>
            <w:vAlign w:val="center"/>
          </w:tcPr>
          <w:p>
            <w:r>
              <w:rPr>
                <w:sz w:val="16"/>
              </w:rPr>
              <w:t>751</w:t>
            </w:r>
          </w:p>
        </w:tc>
      </w:tr>
      <w:tr>
        <w:tc>
          <w:tcPr>
            <w:tcW w:type="dxa" w:w="3360"/>
            <w:vAlign w:val="center"/>
          </w:tcPr>
          <w:p>
            <w:r>
              <w:rPr>
                <w:sz w:val="16"/>
              </w:rPr>
              <w:t>internal_test</w:t>
            </w:r>
          </w:p>
        </w:tc>
        <w:tc>
          <w:tcPr>
            <w:tcW w:type="dxa" w:w="3360"/>
            <w:vAlign w:val="center"/>
          </w:tcPr>
          <w:p>
            <w:r>
              <w:rPr>
                <w:sz w:val="16"/>
              </w:rPr>
              <w:t>379</w:t>
            </w:r>
          </w:p>
        </w:tc>
        <w:tc>
          <w:tcPr>
            <w:tcW w:type="dxa" w:w="3360"/>
            <w:vAlign w:val="center"/>
          </w:tcPr>
          <w:p>
            <w:r>
              <w:rPr>
                <w:sz w:val="16"/>
              </w:rPr>
              <w:t>739</w:t>
            </w:r>
          </w:p>
        </w:tc>
      </w:tr>
      <w:tr>
        <w:tc>
          <w:tcPr>
            <w:tcW w:type="dxa" w:w="3360"/>
            <w:vAlign w:val="center"/>
          </w:tcPr>
          <w:p>
            <w:r>
              <w:rPr>
                <w:sz w:val="16"/>
              </w:rPr>
              <w:t>train</w:t>
            </w:r>
          </w:p>
        </w:tc>
        <w:tc>
          <w:tcPr>
            <w:tcW w:type="dxa" w:w="3360"/>
            <w:vAlign w:val="center"/>
          </w:tcPr>
          <w:p>
            <w:r>
              <w:rPr>
                <w:sz w:val="16"/>
              </w:rPr>
              <w:t>2657</w:t>
            </w:r>
          </w:p>
        </w:tc>
        <w:tc>
          <w:tcPr>
            <w:tcW w:type="dxa" w:w="3360"/>
            <w:vAlign w:val="center"/>
          </w:tcPr>
          <w:p>
            <w:r>
              <w:rPr>
                <w:sz w:val="16"/>
              </w:rPr>
              <w:t>2679</w:t>
            </w:r>
          </w:p>
        </w:tc>
      </w:tr>
      <w:tr>
        <w:tc>
          <w:tcPr>
            <w:tcW w:type="dxa" w:w="3360"/>
            <w:vAlign w:val="center"/>
          </w:tcPr>
          <w:p>
            <w:r>
              <w:rPr>
                <w:sz w:val="16"/>
              </w:rPr>
              <w:t>validation</w:t>
            </w:r>
          </w:p>
        </w:tc>
        <w:tc>
          <w:tcPr>
            <w:tcW w:type="dxa" w:w="3360"/>
            <w:vAlign w:val="center"/>
          </w:tcPr>
          <w:p>
            <w:r>
              <w:rPr>
                <w:sz w:val="16"/>
              </w:rPr>
              <w:t>380</w:t>
            </w:r>
          </w:p>
        </w:tc>
        <w:tc>
          <w:tcPr>
            <w:tcW w:type="dxa" w:w="3360"/>
            <w:vAlign w:val="center"/>
          </w:tcPr>
          <w:p>
            <w:r>
              <w:rPr>
                <w:sz w:val="16"/>
              </w:rPr>
              <w:t>831</w:t>
            </w:r>
          </w:p>
        </w:tc>
      </w:tr>
      <w:tr>
        <w:tc>
          <w:tcPr>
            <w:tcW w:type="dxa" w:w="3360"/>
            <w:vAlign w:val="center"/>
          </w:tcPr>
          <w:p>
            <w:r>
              <w:rPr>
                <w:sz w:val="16"/>
              </w:rPr>
              <w:t>VinDr-derived external</w:t>
            </w:r>
          </w:p>
        </w:tc>
        <w:tc>
          <w:tcPr>
            <w:tcW w:type="dxa" w:w="3360"/>
            <w:vAlign w:val="center"/>
          </w:tcPr>
          <w:p>
            <w:r>
              <w:rPr>
                <w:sz w:val="16"/>
              </w:rPr>
              <w:t>1000</w:t>
            </w:r>
          </w:p>
        </w:tc>
        <w:tc>
          <w:tcPr>
            <w:tcW w:type="dxa" w:w="3360"/>
            <w:vAlign w:val="center"/>
          </w:tcPr>
          <w:p>
            <w:r>
              <w:rPr>
                <w:sz w:val="16"/>
              </w:rPr>
              <w:t>1000</w:t>
            </w:r>
          </w:p>
        </w:tc>
      </w:tr>
    </w:tbl>
    <w:p>
      <w:pPr>
        <w:pStyle w:val="Heading2"/>
      </w:pPr>
      <w:r>
        <w:t>Table 2. Label Harmonization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Pr>
                <w:b/>
                <w:sz w:val="16"/>
              </w:rPr>
              <w:t>harmonized_label</w:t>
            </w:r>
          </w:p>
        </w:tc>
        <w:tc>
          <w:tcPr>
            <w:tcW w:type="dxa" w:w="2520"/>
            <w:vAlign w:val="center"/>
            <w:shd w:fill="D9EAF7"/>
          </w:tcPr>
          <w:p>
            <w:r>
              <w:rPr>
                <w:b/>
                <w:sz w:val="16"/>
              </w:rPr>
              <w:t>nih_terms</w:t>
            </w:r>
          </w:p>
        </w:tc>
        <w:tc>
          <w:tcPr>
            <w:tcW w:type="dxa" w:w="2520"/>
            <w:vAlign w:val="center"/>
            <w:shd w:fill="D9EAF7"/>
          </w:tcPr>
          <w:p>
            <w:r>
              <w:rPr>
                <w:b/>
                <w:sz w:val="16"/>
              </w:rPr>
              <w:t>vindr_terms</w:t>
            </w:r>
          </w:p>
        </w:tc>
        <w:tc>
          <w:tcPr>
            <w:tcW w:type="dxa" w:w="2520"/>
            <w:vAlign w:val="center"/>
            <w:shd w:fill="D9EAF7"/>
          </w:tcPr>
          <w:p>
            <w:r>
              <w:rPr>
                <w:b/>
                <w:sz w:val="16"/>
              </w:rPr>
              <w:t>role</w:t>
            </w:r>
          </w:p>
        </w:tc>
      </w:tr>
      <w:tr>
        <w:tc>
          <w:tcPr>
            <w:tcW w:type="dxa" w:w="2520"/>
            <w:vAlign w:val="center"/>
          </w:tcPr>
          <w:p>
            <w:r>
              <w:rPr>
                <w:sz w:val="16"/>
              </w:rPr>
              <w:t>Atelectasis</w:t>
            </w:r>
          </w:p>
        </w:tc>
        <w:tc>
          <w:tcPr>
            <w:tcW w:type="dxa" w:w="2520"/>
            <w:vAlign w:val="center"/>
          </w:tcPr>
          <w:p>
            <w:r>
              <w:rPr>
                <w:sz w:val="16"/>
              </w:rPr>
              <w:t>Atelectasis</w:t>
            </w:r>
          </w:p>
        </w:tc>
        <w:tc>
          <w:tcPr>
            <w:tcW w:type="dxa" w:w="2520"/>
            <w:vAlign w:val="center"/>
          </w:tcPr>
          <w:p>
            <w:r>
              <w:rPr>
                <w:sz w:val="16"/>
              </w:rPr>
              <w:t>Atelectasis</w:t>
            </w:r>
          </w:p>
        </w:tc>
        <w:tc>
          <w:tcPr>
            <w:tcW w:type="dxa" w:w="2520"/>
            <w:vAlign w:val="center"/>
          </w:tcPr>
          <w:p>
            <w:r>
              <w:rPr>
                <w:sz w:val="16"/>
              </w:rPr>
              <w:t>primary</w:t>
            </w:r>
          </w:p>
        </w:tc>
      </w:tr>
      <w:tr>
        <w:tc>
          <w:tcPr>
            <w:tcW w:type="dxa" w:w="2520"/>
            <w:vAlign w:val="center"/>
          </w:tcPr>
          <w:p>
            <w:r>
              <w:rPr>
                <w:sz w:val="16"/>
              </w:rPr>
              <w:t>Cardiomegaly</w:t>
            </w:r>
          </w:p>
        </w:tc>
        <w:tc>
          <w:tcPr>
            <w:tcW w:type="dxa" w:w="2520"/>
            <w:vAlign w:val="center"/>
          </w:tcPr>
          <w:p>
            <w:r>
              <w:rPr>
                <w:sz w:val="16"/>
              </w:rPr>
              <w:t>Cardiomegaly</w:t>
            </w:r>
          </w:p>
        </w:tc>
        <w:tc>
          <w:tcPr>
            <w:tcW w:type="dxa" w:w="2520"/>
            <w:vAlign w:val="center"/>
          </w:tcPr>
          <w:p>
            <w:r>
              <w:rPr>
                <w:sz w:val="16"/>
              </w:rPr>
              <w:t>Cardiomegaly</w:t>
            </w:r>
          </w:p>
        </w:tc>
        <w:tc>
          <w:tcPr>
            <w:tcW w:type="dxa" w:w="2520"/>
            <w:vAlign w:val="center"/>
          </w:tcPr>
          <w:p>
            <w:r>
              <w:rPr>
                <w:sz w:val="16"/>
              </w:rPr>
              <w:t>primary</w:t>
            </w:r>
          </w:p>
        </w:tc>
      </w:tr>
      <w:tr>
        <w:tc>
          <w:tcPr>
            <w:tcW w:type="dxa" w:w="2520"/>
            <w:vAlign w:val="center"/>
          </w:tcPr>
          <w:p>
            <w:r>
              <w:rPr>
                <w:sz w:val="16"/>
              </w:rPr>
              <w:t>Pleural Effusion</w:t>
            </w:r>
          </w:p>
        </w:tc>
        <w:tc>
          <w:tcPr>
            <w:tcW w:type="dxa" w:w="2520"/>
            <w:vAlign w:val="center"/>
          </w:tcPr>
          <w:p>
            <w:r>
              <w:rPr>
                <w:sz w:val="16"/>
              </w:rPr>
              <w:t>Effusion; Pleural Effusion</w:t>
            </w:r>
          </w:p>
        </w:tc>
        <w:tc>
          <w:tcPr>
            <w:tcW w:type="dxa" w:w="2520"/>
            <w:vAlign w:val="center"/>
          </w:tcPr>
          <w:p>
            <w:r>
              <w:rPr>
                <w:sz w:val="16"/>
              </w:rPr>
              <w:t>Pleural effusion; Pleural Effusion; Effusion</w:t>
            </w:r>
          </w:p>
        </w:tc>
        <w:tc>
          <w:tcPr>
            <w:tcW w:type="dxa" w:w="2520"/>
            <w:vAlign w:val="center"/>
          </w:tcPr>
          <w:p>
            <w:r>
              <w:rPr>
                <w:sz w:val="16"/>
              </w:rPr>
              <w:t>primary</w:t>
            </w:r>
          </w:p>
        </w:tc>
      </w:tr>
      <w:tr>
        <w:tc>
          <w:tcPr>
            <w:tcW w:type="dxa" w:w="2520"/>
            <w:vAlign w:val="center"/>
          </w:tcPr>
          <w:p>
            <w:r>
              <w:rPr>
                <w:sz w:val="16"/>
              </w:rPr>
              <w:t>Pneumothorax</w:t>
            </w:r>
          </w:p>
        </w:tc>
        <w:tc>
          <w:tcPr>
            <w:tcW w:type="dxa" w:w="2520"/>
            <w:vAlign w:val="center"/>
          </w:tcPr>
          <w:p>
            <w:r>
              <w:rPr>
                <w:sz w:val="16"/>
              </w:rPr>
              <w:t>Pneumothorax</w:t>
            </w:r>
          </w:p>
        </w:tc>
        <w:tc>
          <w:tcPr>
            <w:tcW w:type="dxa" w:w="2520"/>
            <w:vAlign w:val="center"/>
          </w:tcPr>
          <w:p>
            <w:r>
              <w:rPr>
                <w:sz w:val="16"/>
              </w:rPr>
              <w:t>Pneumothorax</w:t>
            </w:r>
          </w:p>
        </w:tc>
        <w:tc>
          <w:tcPr>
            <w:tcW w:type="dxa" w:w="2520"/>
            <w:vAlign w:val="center"/>
          </w:tcPr>
          <w:p>
            <w:r>
              <w:rPr>
                <w:sz w:val="16"/>
              </w:rPr>
              <w:t>primary</w:t>
            </w:r>
          </w:p>
        </w:tc>
      </w:tr>
      <w:tr>
        <w:tc>
          <w:tcPr>
            <w:tcW w:type="dxa" w:w="2520"/>
            <w:vAlign w:val="center"/>
          </w:tcPr>
          <w:p>
            <w:r>
              <w:rPr>
                <w:sz w:val="16"/>
              </w:rPr>
              <w:t>Consolidation</w:t>
            </w:r>
          </w:p>
        </w:tc>
        <w:tc>
          <w:tcPr>
            <w:tcW w:type="dxa" w:w="2520"/>
            <w:vAlign w:val="center"/>
          </w:tcPr>
          <w:p>
            <w:r>
              <w:rPr>
                <w:sz w:val="16"/>
              </w:rPr>
              <w:t>Consolidation</w:t>
            </w:r>
          </w:p>
        </w:tc>
        <w:tc>
          <w:tcPr>
            <w:tcW w:type="dxa" w:w="2520"/>
            <w:vAlign w:val="center"/>
          </w:tcPr>
          <w:p>
            <w:r>
              <w:rPr>
                <w:sz w:val="16"/>
              </w:rPr>
              <w:t>Consolidation</w:t>
            </w:r>
          </w:p>
        </w:tc>
        <w:tc>
          <w:tcPr>
            <w:tcW w:type="dxa" w:w="2520"/>
            <w:vAlign w:val="center"/>
          </w:tcPr>
          <w:p>
            <w:r>
              <w:rPr>
                <w:sz w:val="16"/>
              </w:rPr>
              <w:t>primary</w:t>
            </w:r>
          </w:p>
        </w:tc>
      </w:tr>
      <w:tr>
        <w:tc>
          <w:tcPr>
            <w:tcW w:type="dxa" w:w="2520"/>
            <w:vAlign w:val="center"/>
          </w:tcPr>
          <w:p>
            <w:r>
              <w:rPr>
                <w:sz w:val="16"/>
              </w:rPr>
              <w:t>Edema</w:t>
            </w:r>
          </w:p>
        </w:tc>
        <w:tc>
          <w:tcPr>
            <w:tcW w:type="dxa" w:w="2520"/>
            <w:vAlign w:val="center"/>
          </w:tcPr>
          <w:p>
            <w:r>
              <w:rPr>
                <w:sz w:val="16"/>
              </w:rPr>
              <w:t>Edema</w:t>
            </w:r>
          </w:p>
        </w:tc>
        <w:tc>
          <w:tcPr>
            <w:tcW w:type="dxa" w:w="2520"/>
            <w:vAlign w:val="center"/>
          </w:tcPr>
          <w:p>
            <w:r>
              <w:rPr>
                <w:sz w:val="16"/>
              </w:rPr>
              <w:t>Pulmonary edema; Edema</w:t>
            </w:r>
          </w:p>
        </w:tc>
        <w:tc>
          <w:tcPr>
            <w:tcW w:type="dxa" w:w="2520"/>
            <w:vAlign w:val="center"/>
          </w:tcPr>
          <w:p>
            <w:r>
              <w:rPr>
                <w:sz w:val="16"/>
              </w:rPr>
              <w:t>conditional_primary</w:t>
            </w:r>
          </w:p>
        </w:tc>
      </w:tr>
      <w:tr>
        <w:tc>
          <w:tcPr>
            <w:tcW w:type="dxa" w:w="2520"/>
            <w:vAlign w:val="center"/>
          </w:tcPr>
          <w:p>
            <w:r>
              <w:rPr>
                <w:sz w:val="16"/>
              </w:rPr>
              <w:t>Pneumonia</w:t>
            </w:r>
          </w:p>
        </w:tc>
        <w:tc>
          <w:tcPr>
            <w:tcW w:type="dxa" w:w="2520"/>
            <w:vAlign w:val="center"/>
          </w:tcPr>
          <w:p>
            <w:r>
              <w:rPr>
                <w:sz w:val="16"/>
              </w:rPr>
              <w:t>Pneumonia</w:t>
            </w:r>
          </w:p>
        </w:tc>
        <w:tc>
          <w:tcPr>
            <w:tcW w:type="dxa" w:w="2520"/>
            <w:vAlign w:val="center"/>
          </w:tcPr>
          <w:p>
            <w:r>
              <w:rPr>
                <w:sz w:val="16"/>
              </w:rPr>
              <w:t>Pneumonia</w:t>
            </w:r>
          </w:p>
        </w:tc>
        <w:tc>
          <w:tcPr>
            <w:tcW w:type="dxa" w:w="2520"/>
            <w:vAlign w:val="center"/>
          </w:tcPr>
          <w:p>
            <w:r>
              <w:rPr>
                <w:sz w:val="16"/>
              </w:rPr>
              <w:t>sensitivity</w:t>
            </w:r>
          </w:p>
        </w:tc>
      </w:tr>
      <w:tr>
        <w:tc>
          <w:tcPr>
            <w:tcW w:type="dxa" w:w="2520"/>
            <w:vAlign w:val="center"/>
          </w:tcPr>
          <w:p>
            <w:r>
              <w:rPr>
                <w:sz w:val="16"/>
              </w:rPr>
              <w:t>No Finding</w:t>
            </w:r>
          </w:p>
        </w:tc>
        <w:tc>
          <w:tcPr>
            <w:tcW w:type="dxa" w:w="2520"/>
            <w:vAlign w:val="center"/>
          </w:tcPr>
          <w:p>
            <w:r>
              <w:rPr>
                <w:sz w:val="16"/>
              </w:rPr>
              <w:t>No Finding; No finding</w:t>
            </w:r>
          </w:p>
        </w:tc>
        <w:tc>
          <w:tcPr>
            <w:tcW w:type="dxa" w:w="2520"/>
            <w:vAlign w:val="center"/>
          </w:tcPr>
          <w:p>
            <w:r>
              <w:rPr>
                <w:sz w:val="16"/>
              </w:rPr>
              <w:t>No finding; No Finding; No abnormality</w:t>
            </w:r>
          </w:p>
        </w:tc>
        <w:tc>
          <w:tcPr>
            <w:tcW w:type="dxa" w:w="2520"/>
            <w:vAlign w:val="center"/>
          </w:tcPr>
          <w:p>
            <w:r>
              <w:rPr>
                <w:sz w:val="16"/>
              </w:rPr>
              <w:t>sensitivity</w:t>
            </w:r>
          </w:p>
        </w:tc>
      </w:tr>
    </w:tbl>
    <w:p>
      <w:pPr>
        <w:pStyle w:val="Heading2"/>
      </w:pPr>
      <w:r>
        <w:t>Table 3. Internal and External Performance by Label and Model with Prevalence and 95% CI</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D9EAF7"/>
          </w:tcPr>
          <w:p>
            <w:r>
              <w:rPr>
                <w:b/>
                <w:sz w:val="16"/>
              </w:rPr>
              <w:t>model</w:t>
            </w:r>
          </w:p>
        </w:tc>
        <w:tc>
          <w:tcPr>
            <w:tcW w:type="dxa" w:w="1440"/>
            <w:vAlign w:val="center"/>
            <w:shd w:fill="D9EAF7"/>
          </w:tcPr>
          <w:p>
            <w:r>
              <w:rPr>
                <w:b/>
                <w:sz w:val="16"/>
              </w:rPr>
              <w:t>dataset</w:t>
            </w:r>
          </w:p>
        </w:tc>
        <w:tc>
          <w:tcPr>
            <w:tcW w:type="dxa" w:w="1440"/>
            <w:vAlign w:val="center"/>
            <w:shd w:fill="D9EAF7"/>
          </w:tcPr>
          <w:p>
            <w:r>
              <w:rPr>
                <w:b/>
                <w:sz w:val="16"/>
              </w:rPr>
              <w:t>label</w:t>
            </w:r>
          </w:p>
        </w:tc>
        <w:tc>
          <w:tcPr>
            <w:tcW w:type="dxa" w:w="1440"/>
            <w:vAlign w:val="center"/>
            <w:shd w:fill="D9EAF7"/>
          </w:tcPr>
          <w:p>
            <w:r>
              <w:rPr>
                <w:b/>
                <w:sz w:val="16"/>
              </w:rPr>
              <w:t>prevalence</w:t>
            </w:r>
          </w:p>
        </w:tc>
        <w:tc>
          <w:tcPr>
            <w:tcW w:type="dxa" w:w="1440"/>
            <w:vAlign w:val="center"/>
            <w:shd w:fill="D9EAF7"/>
          </w:tcPr>
          <w:p>
            <w:r>
              <w:rPr>
                <w:b/>
                <w:sz w:val="16"/>
              </w:rPr>
              <w:t>AUROC (95% CI)</w:t>
            </w:r>
          </w:p>
        </w:tc>
        <w:tc>
          <w:tcPr>
            <w:tcW w:type="dxa" w:w="1440"/>
            <w:vAlign w:val="center"/>
            <w:shd w:fill="D9EAF7"/>
          </w:tcPr>
          <w:p>
            <w:r>
              <w:rPr>
                <w:b/>
                <w:sz w:val="16"/>
              </w:rPr>
              <w:t>AUPRC (95% CI)</w:t>
            </w:r>
          </w:p>
        </w:tc>
        <w:tc>
          <w:tcPr>
            <w:tcW w:type="dxa" w:w="1440"/>
            <w:vAlign w:val="center"/>
            <w:shd w:fill="D9EAF7"/>
          </w:tcPr>
          <w:p>
            <w:r>
              <w:rPr>
                <w:b/>
                <w:sz w:val="16"/>
              </w:rPr>
              <w:t>F1</w:t>
            </w:r>
          </w:p>
        </w:tc>
      </w:tr>
      <w:tr>
        <w:tc>
          <w:tcPr>
            <w:tcW w:type="dxa" w:w="1440"/>
            <w:vAlign w:val="center"/>
          </w:tcPr>
          <w:p>
            <w:r>
              <w:rPr>
                <w:sz w:val="16"/>
              </w:rPr>
              <w:t>DenseNet121</w:t>
            </w:r>
          </w:p>
        </w:tc>
        <w:tc>
          <w:tcPr>
            <w:tcW w:type="dxa" w:w="1440"/>
            <w:vAlign w:val="center"/>
          </w:tcPr>
          <w:p>
            <w:r>
              <w:rPr>
                <w:sz w:val="16"/>
              </w:rPr>
              <w:t>NIH internal</w:t>
            </w:r>
          </w:p>
        </w:tc>
        <w:tc>
          <w:tcPr>
            <w:tcW w:type="dxa" w:w="1440"/>
            <w:vAlign w:val="center"/>
          </w:tcPr>
          <w:p>
            <w:r>
              <w:rPr>
                <w:sz w:val="16"/>
              </w:rPr>
              <w:t>Atelectasis</w:t>
            </w:r>
          </w:p>
        </w:tc>
        <w:tc>
          <w:tcPr>
            <w:tcW w:type="dxa" w:w="1440"/>
            <w:vAlign w:val="center"/>
          </w:tcPr>
          <w:p>
            <w:r>
              <w:rPr>
                <w:sz w:val="16"/>
              </w:rPr>
              <w:t>0.120</w:t>
            </w:r>
          </w:p>
        </w:tc>
        <w:tc>
          <w:tcPr>
            <w:tcW w:type="dxa" w:w="1440"/>
            <w:vAlign w:val="center"/>
          </w:tcPr>
          <w:p>
            <w:r>
              <w:rPr>
                <w:sz w:val="16"/>
              </w:rPr>
              <w:t>0.679 (0.616-0.743)</w:t>
            </w:r>
          </w:p>
        </w:tc>
        <w:tc>
          <w:tcPr>
            <w:tcW w:type="dxa" w:w="1440"/>
            <w:vAlign w:val="center"/>
          </w:tcPr>
          <w:p>
            <w:r>
              <w:rPr>
                <w:sz w:val="16"/>
              </w:rPr>
              <w:t>0.222 (0.169-0.306)</w:t>
            </w:r>
          </w:p>
        </w:tc>
        <w:tc>
          <w:tcPr>
            <w:tcW w:type="dxa" w:w="1440"/>
            <w:vAlign w:val="center"/>
          </w:tcPr>
          <w:p>
            <w:r>
              <w:rPr>
                <w:sz w:val="16"/>
              </w:rPr>
              <w:t>0.246</w:t>
            </w:r>
          </w:p>
        </w:tc>
      </w:tr>
      <w:tr>
        <w:tc>
          <w:tcPr>
            <w:tcW w:type="dxa" w:w="1440"/>
            <w:vAlign w:val="center"/>
          </w:tcPr>
          <w:p>
            <w:r>
              <w:rPr>
                <w:sz w:val="16"/>
              </w:rPr>
              <w:t>DenseNet121</w:t>
            </w:r>
          </w:p>
        </w:tc>
        <w:tc>
          <w:tcPr>
            <w:tcW w:type="dxa" w:w="1440"/>
            <w:vAlign w:val="center"/>
          </w:tcPr>
          <w:p>
            <w:r>
              <w:rPr>
                <w:sz w:val="16"/>
              </w:rPr>
              <w:t>NIH internal</w:t>
            </w:r>
          </w:p>
        </w:tc>
        <w:tc>
          <w:tcPr>
            <w:tcW w:type="dxa" w:w="1440"/>
            <w:vAlign w:val="center"/>
          </w:tcPr>
          <w:p>
            <w:r>
              <w:rPr>
                <w:sz w:val="16"/>
              </w:rPr>
              <w:t>Cardiomegaly</w:t>
            </w:r>
          </w:p>
        </w:tc>
        <w:tc>
          <w:tcPr>
            <w:tcW w:type="dxa" w:w="1440"/>
            <w:vAlign w:val="center"/>
          </w:tcPr>
          <w:p>
            <w:r>
              <w:rPr>
                <w:sz w:val="16"/>
              </w:rPr>
              <w:t>0.035</w:t>
            </w:r>
          </w:p>
        </w:tc>
        <w:tc>
          <w:tcPr>
            <w:tcW w:type="dxa" w:w="1440"/>
            <w:vAlign w:val="center"/>
          </w:tcPr>
          <w:p>
            <w:r>
              <w:rPr>
                <w:sz w:val="16"/>
              </w:rPr>
              <w:t>0.675 (0.560-0.771)</w:t>
            </w:r>
          </w:p>
        </w:tc>
        <w:tc>
          <w:tcPr>
            <w:tcW w:type="dxa" w:w="1440"/>
            <w:vAlign w:val="center"/>
          </w:tcPr>
          <w:p>
            <w:r>
              <w:rPr>
                <w:sz w:val="16"/>
              </w:rPr>
              <w:t>0.119 (0.043-0.240)</w:t>
            </w:r>
          </w:p>
        </w:tc>
        <w:tc>
          <w:tcPr>
            <w:tcW w:type="dxa" w:w="1440"/>
            <w:vAlign w:val="center"/>
          </w:tcPr>
          <w:p>
            <w:r>
              <w:rPr>
                <w:sz w:val="16"/>
              </w:rPr>
              <w:t>0.182</w:t>
            </w:r>
          </w:p>
        </w:tc>
      </w:tr>
      <w:tr>
        <w:tc>
          <w:tcPr>
            <w:tcW w:type="dxa" w:w="1440"/>
            <w:vAlign w:val="center"/>
          </w:tcPr>
          <w:p>
            <w:r>
              <w:rPr>
                <w:sz w:val="16"/>
              </w:rPr>
              <w:t>DenseNet121</w:t>
            </w:r>
          </w:p>
        </w:tc>
        <w:tc>
          <w:tcPr>
            <w:tcW w:type="dxa" w:w="1440"/>
            <w:vAlign w:val="center"/>
          </w:tcPr>
          <w:p>
            <w:r>
              <w:rPr>
                <w:sz w:val="16"/>
              </w:rPr>
              <w:t>NIH internal</w:t>
            </w:r>
          </w:p>
        </w:tc>
        <w:tc>
          <w:tcPr>
            <w:tcW w:type="dxa" w:w="1440"/>
            <w:vAlign w:val="center"/>
          </w:tcPr>
          <w:p>
            <w:r>
              <w:rPr>
                <w:sz w:val="16"/>
              </w:rPr>
              <w:t>Pleural Effusion</w:t>
            </w:r>
          </w:p>
        </w:tc>
        <w:tc>
          <w:tcPr>
            <w:tcW w:type="dxa" w:w="1440"/>
            <w:vAlign w:val="center"/>
          </w:tcPr>
          <w:p>
            <w:r>
              <w:rPr>
                <w:sz w:val="16"/>
              </w:rPr>
              <w:t>0.147</w:t>
            </w:r>
          </w:p>
        </w:tc>
        <w:tc>
          <w:tcPr>
            <w:tcW w:type="dxa" w:w="1440"/>
            <w:vAlign w:val="center"/>
          </w:tcPr>
          <w:p>
            <w:r>
              <w:rPr>
                <w:sz w:val="16"/>
              </w:rPr>
              <w:t>0.709 (0.650-0.763)</w:t>
            </w:r>
          </w:p>
        </w:tc>
        <w:tc>
          <w:tcPr>
            <w:tcW w:type="dxa" w:w="1440"/>
            <w:vAlign w:val="center"/>
          </w:tcPr>
          <w:p>
            <w:r>
              <w:rPr>
                <w:sz w:val="16"/>
              </w:rPr>
              <w:t>0.335 (0.258-0.431)</w:t>
            </w:r>
          </w:p>
        </w:tc>
        <w:tc>
          <w:tcPr>
            <w:tcW w:type="dxa" w:w="1440"/>
            <w:vAlign w:val="center"/>
          </w:tcPr>
          <w:p>
            <w:r>
              <w:rPr>
                <w:sz w:val="16"/>
              </w:rPr>
              <w:t>0.342</w:t>
            </w:r>
          </w:p>
        </w:tc>
      </w:tr>
      <w:tr>
        <w:tc>
          <w:tcPr>
            <w:tcW w:type="dxa" w:w="1440"/>
            <w:vAlign w:val="center"/>
          </w:tcPr>
          <w:p>
            <w:r>
              <w:rPr>
                <w:sz w:val="16"/>
              </w:rPr>
              <w:t>DenseNet121</w:t>
            </w:r>
          </w:p>
        </w:tc>
        <w:tc>
          <w:tcPr>
            <w:tcW w:type="dxa" w:w="1440"/>
            <w:vAlign w:val="center"/>
          </w:tcPr>
          <w:p>
            <w:r>
              <w:rPr>
                <w:sz w:val="16"/>
              </w:rPr>
              <w:t>NIH internal</w:t>
            </w:r>
          </w:p>
        </w:tc>
        <w:tc>
          <w:tcPr>
            <w:tcW w:type="dxa" w:w="1440"/>
            <w:vAlign w:val="center"/>
          </w:tcPr>
          <w:p>
            <w:r>
              <w:rPr>
                <w:sz w:val="16"/>
              </w:rPr>
              <w:t>Pneumothorax</w:t>
            </w:r>
          </w:p>
        </w:tc>
        <w:tc>
          <w:tcPr>
            <w:tcW w:type="dxa" w:w="1440"/>
            <w:vAlign w:val="center"/>
          </w:tcPr>
          <w:p>
            <w:r>
              <w:rPr>
                <w:sz w:val="16"/>
              </w:rPr>
              <w:t>0.057</w:t>
            </w:r>
          </w:p>
        </w:tc>
        <w:tc>
          <w:tcPr>
            <w:tcW w:type="dxa" w:w="1440"/>
            <w:vAlign w:val="center"/>
          </w:tcPr>
          <w:p>
            <w:r>
              <w:rPr>
                <w:sz w:val="16"/>
              </w:rPr>
              <w:t>0.646 (0.535-0.754)</w:t>
            </w:r>
          </w:p>
        </w:tc>
        <w:tc>
          <w:tcPr>
            <w:tcW w:type="dxa" w:w="1440"/>
            <w:vAlign w:val="center"/>
          </w:tcPr>
          <w:p>
            <w:r>
              <w:rPr>
                <w:sz w:val="16"/>
              </w:rPr>
              <w:t>0.198 (0.085-0.366)</w:t>
            </w:r>
          </w:p>
        </w:tc>
        <w:tc>
          <w:tcPr>
            <w:tcW w:type="dxa" w:w="1440"/>
            <w:vAlign w:val="center"/>
          </w:tcPr>
          <w:p>
            <w:r>
              <w:rPr>
                <w:sz w:val="16"/>
              </w:rPr>
              <w:t>0.203</w:t>
            </w:r>
          </w:p>
        </w:tc>
      </w:tr>
      <w:tr>
        <w:tc>
          <w:tcPr>
            <w:tcW w:type="dxa" w:w="1440"/>
            <w:vAlign w:val="center"/>
          </w:tcPr>
          <w:p>
            <w:r>
              <w:rPr>
                <w:sz w:val="16"/>
              </w:rPr>
              <w:t>DenseNet121</w:t>
            </w:r>
          </w:p>
        </w:tc>
        <w:tc>
          <w:tcPr>
            <w:tcW w:type="dxa" w:w="1440"/>
            <w:vAlign w:val="center"/>
          </w:tcPr>
          <w:p>
            <w:r>
              <w:rPr>
                <w:sz w:val="16"/>
              </w:rPr>
              <w:t>NIH internal</w:t>
            </w:r>
          </w:p>
        </w:tc>
        <w:tc>
          <w:tcPr>
            <w:tcW w:type="dxa" w:w="1440"/>
            <w:vAlign w:val="center"/>
          </w:tcPr>
          <w:p>
            <w:r>
              <w:rPr>
                <w:sz w:val="16"/>
              </w:rPr>
              <w:t>Consolidation</w:t>
            </w:r>
          </w:p>
        </w:tc>
        <w:tc>
          <w:tcPr>
            <w:tcW w:type="dxa" w:w="1440"/>
            <w:vAlign w:val="center"/>
          </w:tcPr>
          <w:p>
            <w:r>
              <w:rPr>
                <w:sz w:val="16"/>
              </w:rPr>
              <w:t>0.055</w:t>
            </w:r>
          </w:p>
        </w:tc>
        <w:tc>
          <w:tcPr>
            <w:tcW w:type="dxa" w:w="1440"/>
            <w:vAlign w:val="center"/>
          </w:tcPr>
          <w:p>
            <w:r>
              <w:rPr>
                <w:sz w:val="16"/>
              </w:rPr>
              <w:t>0.618 (0.532-0.695)</w:t>
            </w:r>
          </w:p>
        </w:tc>
        <w:tc>
          <w:tcPr>
            <w:tcW w:type="dxa" w:w="1440"/>
            <w:vAlign w:val="center"/>
          </w:tcPr>
          <w:p>
            <w:r>
              <w:rPr>
                <w:sz w:val="16"/>
              </w:rPr>
              <w:t>0.076 (0.053-0.127)</w:t>
            </w:r>
          </w:p>
        </w:tc>
        <w:tc>
          <w:tcPr>
            <w:tcW w:type="dxa" w:w="1440"/>
            <w:vAlign w:val="center"/>
          </w:tcPr>
          <w:p>
            <w:r>
              <w:rPr>
                <w:sz w:val="16"/>
              </w:rPr>
              <w:t>0.155</w:t>
            </w:r>
          </w:p>
        </w:tc>
      </w:tr>
      <w:tr>
        <w:tc>
          <w:tcPr>
            <w:tcW w:type="dxa" w:w="1440"/>
            <w:vAlign w:val="center"/>
          </w:tcPr>
          <w:p>
            <w:r>
              <w:rPr>
                <w:sz w:val="16"/>
              </w:rPr>
              <w:t>DenseNet121</w:t>
            </w:r>
          </w:p>
        </w:tc>
        <w:tc>
          <w:tcPr>
            <w:tcW w:type="dxa" w:w="1440"/>
            <w:vAlign w:val="center"/>
          </w:tcPr>
          <w:p>
            <w:r>
              <w:rPr>
                <w:sz w:val="16"/>
              </w:rPr>
              <w:t>NIH internal</w:t>
            </w:r>
          </w:p>
        </w:tc>
        <w:tc>
          <w:tcPr>
            <w:tcW w:type="dxa" w:w="1440"/>
            <w:vAlign w:val="center"/>
          </w:tcPr>
          <w:p>
            <w:r>
              <w:rPr>
                <w:sz w:val="16"/>
              </w:rPr>
              <w:t>Edema</w:t>
            </w:r>
          </w:p>
        </w:tc>
        <w:tc>
          <w:tcPr>
            <w:tcW w:type="dxa" w:w="1440"/>
            <w:vAlign w:val="center"/>
          </w:tcPr>
          <w:p>
            <w:r>
              <w:rPr>
                <w:sz w:val="16"/>
              </w:rPr>
              <w:t>0.020</w:t>
            </w:r>
          </w:p>
        </w:tc>
        <w:tc>
          <w:tcPr>
            <w:tcW w:type="dxa" w:w="1440"/>
            <w:vAlign w:val="center"/>
          </w:tcPr>
          <w:p>
            <w:r>
              <w:rPr>
                <w:sz w:val="16"/>
              </w:rPr>
              <w:t>0.794 (0.689-0.878)</w:t>
            </w:r>
          </w:p>
        </w:tc>
        <w:tc>
          <w:tcPr>
            <w:tcW w:type="dxa" w:w="1440"/>
            <w:vAlign w:val="center"/>
          </w:tcPr>
          <w:p>
            <w:r>
              <w:rPr>
                <w:sz w:val="16"/>
              </w:rPr>
              <w:t>0.059 (0.028-0.122)</w:t>
            </w:r>
          </w:p>
        </w:tc>
        <w:tc>
          <w:tcPr>
            <w:tcW w:type="dxa" w:w="1440"/>
            <w:vAlign w:val="center"/>
          </w:tcPr>
          <w:p>
            <w:r>
              <w:rPr>
                <w:sz w:val="16"/>
              </w:rPr>
              <w:t>0.144</w:t>
            </w:r>
          </w:p>
        </w:tc>
      </w:tr>
      <w:tr>
        <w:tc>
          <w:tcPr>
            <w:tcW w:type="dxa" w:w="1440"/>
            <w:vAlign w:val="center"/>
          </w:tcPr>
          <w:p>
            <w:r>
              <w:rPr>
                <w:sz w:val="16"/>
              </w:rPr>
              <w:t>DenseNet121</w:t>
            </w:r>
          </w:p>
        </w:tc>
        <w:tc>
          <w:tcPr>
            <w:tcW w:type="dxa" w:w="1440"/>
            <w:vAlign w:val="center"/>
          </w:tcPr>
          <w:p>
            <w:r>
              <w:rPr>
                <w:sz w:val="16"/>
              </w:rPr>
              <w:t>NIH internal</w:t>
            </w:r>
          </w:p>
        </w:tc>
        <w:tc>
          <w:tcPr>
            <w:tcW w:type="dxa" w:w="1440"/>
            <w:vAlign w:val="center"/>
          </w:tcPr>
          <w:p>
            <w:r>
              <w:rPr>
                <w:sz w:val="16"/>
              </w:rPr>
              <w:t>Pneumonia</w:t>
            </w:r>
          </w:p>
        </w:tc>
        <w:tc>
          <w:tcPr>
            <w:tcW w:type="dxa" w:w="1440"/>
            <w:vAlign w:val="center"/>
          </w:tcPr>
          <w:p>
            <w:r>
              <w:rPr>
                <w:sz w:val="16"/>
              </w:rPr>
              <w:t>0.023</w:t>
            </w:r>
          </w:p>
        </w:tc>
        <w:tc>
          <w:tcPr>
            <w:tcW w:type="dxa" w:w="1440"/>
            <w:vAlign w:val="center"/>
          </w:tcPr>
          <w:p>
            <w:r>
              <w:rPr>
                <w:sz w:val="16"/>
              </w:rPr>
              <w:t>0.645 (0.522-0.751)</w:t>
            </w:r>
          </w:p>
        </w:tc>
        <w:tc>
          <w:tcPr>
            <w:tcW w:type="dxa" w:w="1440"/>
            <w:vAlign w:val="center"/>
          </w:tcPr>
          <w:p>
            <w:r>
              <w:rPr>
                <w:sz w:val="16"/>
              </w:rPr>
              <w:t>0.037 (0.020-0.080)</w:t>
            </w:r>
          </w:p>
        </w:tc>
        <w:tc>
          <w:tcPr>
            <w:tcW w:type="dxa" w:w="1440"/>
            <w:vAlign w:val="center"/>
          </w:tcPr>
          <w:p>
            <w:r>
              <w:rPr>
                <w:sz w:val="16"/>
              </w:rPr>
              <w:t>0.059</w:t>
            </w:r>
          </w:p>
        </w:tc>
      </w:tr>
      <w:tr>
        <w:tc>
          <w:tcPr>
            <w:tcW w:type="dxa" w:w="1440"/>
            <w:vAlign w:val="center"/>
          </w:tcPr>
          <w:p>
            <w:r>
              <w:rPr>
                <w:sz w:val="16"/>
              </w:rPr>
              <w:t>DenseNet121</w:t>
            </w:r>
          </w:p>
        </w:tc>
        <w:tc>
          <w:tcPr>
            <w:tcW w:type="dxa" w:w="1440"/>
            <w:vAlign w:val="center"/>
          </w:tcPr>
          <w:p>
            <w:r>
              <w:rPr>
                <w:sz w:val="16"/>
              </w:rPr>
              <w:t>NIH internal</w:t>
            </w:r>
          </w:p>
        </w:tc>
        <w:tc>
          <w:tcPr>
            <w:tcW w:type="dxa" w:w="1440"/>
            <w:vAlign w:val="center"/>
          </w:tcPr>
          <w:p>
            <w:r>
              <w:rPr>
                <w:sz w:val="16"/>
              </w:rPr>
              <w:t>No Finding</w:t>
            </w:r>
          </w:p>
        </w:tc>
        <w:tc>
          <w:tcPr>
            <w:tcW w:type="dxa" w:w="1440"/>
            <w:vAlign w:val="center"/>
          </w:tcPr>
          <w:p>
            <w:r>
              <w:rPr>
                <w:sz w:val="16"/>
              </w:rPr>
              <w:t>0.507</w:t>
            </w:r>
          </w:p>
        </w:tc>
        <w:tc>
          <w:tcPr>
            <w:tcW w:type="dxa" w:w="1440"/>
            <w:vAlign w:val="center"/>
          </w:tcPr>
          <w:p>
            <w:r>
              <w:rPr>
                <w:sz w:val="16"/>
              </w:rPr>
              <w:t>0.676 (0.630-0.723)</w:t>
            </w:r>
          </w:p>
        </w:tc>
        <w:tc>
          <w:tcPr>
            <w:tcW w:type="dxa" w:w="1440"/>
            <w:vAlign w:val="center"/>
          </w:tcPr>
          <w:p>
            <w:r>
              <w:rPr>
                <w:sz w:val="16"/>
              </w:rPr>
              <w:t>0.662 (0.601-0.726)</w:t>
            </w:r>
          </w:p>
        </w:tc>
        <w:tc>
          <w:tcPr>
            <w:tcW w:type="dxa" w:w="1440"/>
            <w:vAlign w:val="center"/>
          </w:tcPr>
          <w:p>
            <w:r>
              <w:rPr>
                <w:sz w:val="16"/>
              </w:rPr>
              <w:t>0.671</w:t>
            </w:r>
          </w:p>
        </w:tc>
      </w:tr>
      <w:tr>
        <w:tc>
          <w:tcPr>
            <w:tcW w:type="dxa" w:w="1440"/>
            <w:vAlign w:val="center"/>
          </w:tcPr>
          <w:p>
            <w:r>
              <w:rPr>
                <w:sz w:val="16"/>
              </w:rPr>
              <w:t>DenseNet121</w:t>
            </w:r>
          </w:p>
        </w:tc>
        <w:tc>
          <w:tcPr>
            <w:tcW w:type="dxa" w:w="1440"/>
            <w:vAlign w:val="center"/>
          </w:tcPr>
          <w:p>
            <w:r>
              <w:rPr>
                <w:sz w:val="16"/>
              </w:rPr>
              <w:t>VinDr external</w:t>
            </w:r>
          </w:p>
        </w:tc>
        <w:tc>
          <w:tcPr>
            <w:tcW w:type="dxa" w:w="1440"/>
            <w:vAlign w:val="center"/>
          </w:tcPr>
          <w:p>
            <w:r>
              <w:rPr>
                <w:sz w:val="16"/>
              </w:rPr>
              <w:t>Atelectasis</w:t>
            </w:r>
          </w:p>
        </w:tc>
        <w:tc>
          <w:tcPr>
            <w:tcW w:type="dxa" w:w="1440"/>
            <w:vAlign w:val="center"/>
          </w:tcPr>
          <w:p>
            <w:r>
              <w:rPr>
                <w:sz w:val="16"/>
              </w:rPr>
              <w:t>0.131</w:t>
            </w:r>
          </w:p>
        </w:tc>
        <w:tc>
          <w:tcPr>
            <w:tcW w:type="dxa" w:w="1440"/>
            <w:vAlign w:val="center"/>
          </w:tcPr>
          <w:p>
            <w:r>
              <w:rPr>
                <w:sz w:val="16"/>
              </w:rPr>
              <w:t>0.617 (0.577-0.658)</w:t>
            </w:r>
          </w:p>
        </w:tc>
        <w:tc>
          <w:tcPr>
            <w:tcW w:type="dxa" w:w="1440"/>
            <w:vAlign w:val="center"/>
          </w:tcPr>
          <w:p>
            <w:r>
              <w:rPr>
                <w:sz w:val="16"/>
              </w:rPr>
              <w:t>0.157 (0.132-0.194)</w:t>
            </w:r>
          </w:p>
        </w:tc>
        <w:tc>
          <w:tcPr>
            <w:tcW w:type="dxa" w:w="1440"/>
            <w:vAlign w:val="center"/>
          </w:tcPr>
          <w:p>
            <w:r>
              <w:rPr>
                <w:sz w:val="16"/>
              </w:rPr>
              <w:t>0.117</w:t>
            </w:r>
          </w:p>
        </w:tc>
      </w:tr>
      <w:tr>
        <w:tc>
          <w:tcPr>
            <w:tcW w:type="dxa" w:w="1440"/>
            <w:vAlign w:val="center"/>
          </w:tcPr>
          <w:p>
            <w:r>
              <w:rPr>
                <w:sz w:val="16"/>
              </w:rPr>
              <w:t>DenseNet121</w:t>
            </w:r>
          </w:p>
        </w:tc>
        <w:tc>
          <w:tcPr>
            <w:tcW w:type="dxa" w:w="1440"/>
            <w:vAlign w:val="center"/>
          </w:tcPr>
          <w:p>
            <w:r>
              <w:rPr>
                <w:sz w:val="16"/>
              </w:rPr>
              <w:t>VinDr external</w:t>
            </w:r>
          </w:p>
        </w:tc>
        <w:tc>
          <w:tcPr>
            <w:tcW w:type="dxa" w:w="1440"/>
            <w:vAlign w:val="center"/>
          </w:tcPr>
          <w:p>
            <w:r>
              <w:rPr>
                <w:sz w:val="16"/>
              </w:rPr>
              <w:t>Cardiomegaly</w:t>
            </w:r>
          </w:p>
        </w:tc>
        <w:tc>
          <w:tcPr>
            <w:tcW w:type="dxa" w:w="1440"/>
            <w:vAlign w:val="center"/>
          </w:tcPr>
          <w:p>
            <w:r>
              <w:rPr>
                <w:sz w:val="16"/>
              </w:rPr>
              <w:t>0.276</w:t>
            </w:r>
          </w:p>
        </w:tc>
        <w:tc>
          <w:tcPr>
            <w:tcW w:type="dxa" w:w="1440"/>
            <w:vAlign w:val="center"/>
          </w:tcPr>
          <w:p>
            <w:r>
              <w:rPr>
                <w:sz w:val="16"/>
              </w:rPr>
              <w:t>0.780 (0.752-0.810)</w:t>
            </w:r>
          </w:p>
        </w:tc>
        <w:tc>
          <w:tcPr>
            <w:tcW w:type="dxa" w:w="1440"/>
            <w:vAlign w:val="center"/>
          </w:tcPr>
          <w:p>
            <w:r>
              <w:rPr>
                <w:sz w:val="16"/>
              </w:rPr>
              <w:t>0.565 (0.505-0.625)</w:t>
            </w:r>
          </w:p>
        </w:tc>
        <w:tc>
          <w:tcPr>
            <w:tcW w:type="dxa" w:w="1440"/>
            <w:vAlign w:val="center"/>
          </w:tcPr>
          <w:p>
            <w:r>
              <w:rPr>
                <w:sz w:val="16"/>
              </w:rPr>
              <w:t>0.353</w:t>
            </w:r>
          </w:p>
        </w:tc>
      </w:tr>
      <w:tr>
        <w:tc>
          <w:tcPr>
            <w:tcW w:type="dxa" w:w="1440"/>
            <w:vAlign w:val="center"/>
          </w:tcPr>
          <w:p>
            <w:r>
              <w:rPr>
                <w:sz w:val="16"/>
              </w:rPr>
              <w:t>DenseNet121</w:t>
            </w:r>
          </w:p>
        </w:tc>
        <w:tc>
          <w:tcPr>
            <w:tcW w:type="dxa" w:w="1440"/>
            <w:vAlign w:val="center"/>
          </w:tcPr>
          <w:p>
            <w:r>
              <w:rPr>
                <w:sz w:val="16"/>
              </w:rPr>
              <w:t>VinDr external</w:t>
            </w:r>
          </w:p>
        </w:tc>
        <w:tc>
          <w:tcPr>
            <w:tcW w:type="dxa" w:w="1440"/>
            <w:vAlign w:val="center"/>
          </w:tcPr>
          <w:p>
            <w:r>
              <w:rPr>
                <w:sz w:val="16"/>
              </w:rPr>
              <w:t>Pleural Effusion</w:t>
            </w:r>
          </w:p>
        </w:tc>
        <w:tc>
          <w:tcPr>
            <w:tcW w:type="dxa" w:w="1440"/>
            <w:vAlign w:val="center"/>
          </w:tcPr>
          <w:p>
            <w:r>
              <w:rPr>
                <w:sz w:val="16"/>
              </w:rPr>
              <w:t>0.288</w:t>
            </w:r>
          </w:p>
        </w:tc>
        <w:tc>
          <w:tcPr>
            <w:tcW w:type="dxa" w:w="1440"/>
            <w:vAlign w:val="center"/>
          </w:tcPr>
          <w:p>
            <w:r>
              <w:rPr>
                <w:sz w:val="16"/>
              </w:rPr>
              <w:t>0.811 (0.779-0.838)</w:t>
            </w:r>
          </w:p>
        </w:tc>
        <w:tc>
          <w:tcPr>
            <w:tcW w:type="dxa" w:w="1440"/>
            <w:vAlign w:val="center"/>
          </w:tcPr>
          <w:p>
            <w:r>
              <w:rPr>
                <w:sz w:val="16"/>
              </w:rPr>
              <w:t>0.637 (0.580-0.692)</w:t>
            </w:r>
          </w:p>
        </w:tc>
        <w:tc>
          <w:tcPr>
            <w:tcW w:type="dxa" w:w="1440"/>
            <w:vAlign w:val="center"/>
          </w:tcPr>
          <w:p>
            <w:r>
              <w:rPr>
                <w:sz w:val="16"/>
              </w:rPr>
              <w:t>0.622</w:t>
            </w:r>
          </w:p>
        </w:tc>
      </w:tr>
      <w:tr>
        <w:tc>
          <w:tcPr>
            <w:tcW w:type="dxa" w:w="1440"/>
            <w:vAlign w:val="center"/>
          </w:tcPr>
          <w:p>
            <w:r>
              <w:rPr>
                <w:sz w:val="16"/>
              </w:rPr>
              <w:t>DenseNet121</w:t>
            </w:r>
          </w:p>
        </w:tc>
        <w:tc>
          <w:tcPr>
            <w:tcW w:type="dxa" w:w="1440"/>
            <w:vAlign w:val="center"/>
          </w:tcPr>
          <w:p>
            <w:r>
              <w:rPr>
                <w:sz w:val="16"/>
              </w:rPr>
              <w:t>VinDr external</w:t>
            </w:r>
          </w:p>
        </w:tc>
        <w:tc>
          <w:tcPr>
            <w:tcW w:type="dxa" w:w="1440"/>
            <w:vAlign w:val="center"/>
          </w:tcPr>
          <w:p>
            <w:r>
              <w:rPr>
                <w:sz w:val="16"/>
              </w:rPr>
              <w:t>Pneumothorax</w:t>
            </w:r>
          </w:p>
        </w:tc>
        <w:tc>
          <w:tcPr>
            <w:tcW w:type="dxa" w:w="1440"/>
            <w:vAlign w:val="center"/>
          </w:tcPr>
          <w:p>
            <w:r>
              <w:rPr>
                <w:sz w:val="16"/>
              </w:rPr>
              <w:t>0.059</w:t>
            </w:r>
          </w:p>
        </w:tc>
        <w:tc>
          <w:tcPr>
            <w:tcW w:type="dxa" w:w="1440"/>
            <w:vAlign w:val="center"/>
          </w:tcPr>
          <w:p>
            <w:r>
              <w:rPr>
                <w:sz w:val="16"/>
              </w:rPr>
              <w:t>0.657 (0.598-0.718)</w:t>
            </w:r>
          </w:p>
        </w:tc>
        <w:tc>
          <w:tcPr>
            <w:tcW w:type="dxa" w:w="1440"/>
            <w:vAlign w:val="center"/>
          </w:tcPr>
          <w:p>
            <w:r>
              <w:rPr>
                <w:sz w:val="16"/>
              </w:rPr>
              <w:t>0.092 (0.066-0.135)</w:t>
            </w:r>
          </w:p>
        </w:tc>
        <w:tc>
          <w:tcPr>
            <w:tcW w:type="dxa" w:w="1440"/>
            <w:vAlign w:val="center"/>
          </w:tcPr>
          <w:p>
            <w:r>
              <w:rPr>
                <w:sz w:val="16"/>
              </w:rPr>
              <w:t>0.147</w:t>
            </w:r>
          </w:p>
        </w:tc>
      </w:tr>
      <w:tr>
        <w:tc>
          <w:tcPr>
            <w:tcW w:type="dxa" w:w="1440"/>
            <w:vAlign w:val="center"/>
          </w:tcPr>
          <w:p>
            <w:r>
              <w:rPr>
                <w:sz w:val="16"/>
              </w:rPr>
              <w:t>DenseNet121</w:t>
            </w:r>
          </w:p>
        </w:tc>
        <w:tc>
          <w:tcPr>
            <w:tcW w:type="dxa" w:w="1440"/>
            <w:vAlign w:val="center"/>
          </w:tcPr>
          <w:p>
            <w:r>
              <w:rPr>
                <w:sz w:val="16"/>
              </w:rPr>
              <w:t>VinDr external</w:t>
            </w:r>
          </w:p>
        </w:tc>
        <w:tc>
          <w:tcPr>
            <w:tcW w:type="dxa" w:w="1440"/>
            <w:vAlign w:val="center"/>
          </w:tcPr>
          <w:p>
            <w:r>
              <w:rPr>
                <w:sz w:val="16"/>
              </w:rPr>
              <w:t>Consolidation</w:t>
            </w:r>
          </w:p>
        </w:tc>
        <w:tc>
          <w:tcPr>
            <w:tcW w:type="dxa" w:w="1440"/>
            <w:vAlign w:val="center"/>
          </w:tcPr>
          <w:p>
            <w:r>
              <w:rPr>
                <w:sz w:val="16"/>
              </w:rPr>
              <w:t>0.175</w:t>
            </w:r>
          </w:p>
        </w:tc>
        <w:tc>
          <w:tcPr>
            <w:tcW w:type="dxa" w:w="1440"/>
            <w:vAlign w:val="center"/>
          </w:tcPr>
          <w:p>
            <w:r>
              <w:rPr>
                <w:sz w:val="16"/>
              </w:rPr>
              <w:t>0.745 (0.710-0.778)</w:t>
            </w:r>
          </w:p>
        </w:tc>
        <w:tc>
          <w:tcPr>
            <w:tcW w:type="dxa" w:w="1440"/>
            <w:vAlign w:val="center"/>
          </w:tcPr>
          <w:p>
            <w:r>
              <w:rPr>
                <w:sz w:val="16"/>
              </w:rPr>
              <w:t>0.374 (0.321-0.450)</w:t>
            </w:r>
          </w:p>
        </w:tc>
        <w:tc>
          <w:tcPr>
            <w:tcW w:type="dxa" w:w="1440"/>
            <w:vAlign w:val="center"/>
          </w:tcPr>
          <w:p>
            <w:r>
              <w:rPr>
                <w:sz w:val="16"/>
              </w:rPr>
              <w:t>0.273</w:t>
            </w:r>
          </w:p>
        </w:tc>
      </w:tr>
      <w:tr>
        <w:tc>
          <w:tcPr>
            <w:tcW w:type="dxa" w:w="1440"/>
            <w:vAlign w:val="center"/>
          </w:tcPr>
          <w:p>
            <w:r>
              <w:rPr>
                <w:sz w:val="16"/>
              </w:rPr>
              <w:t>DenseNet121</w:t>
            </w:r>
          </w:p>
        </w:tc>
        <w:tc>
          <w:tcPr>
            <w:tcW w:type="dxa" w:w="1440"/>
            <w:vAlign w:val="center"/>
          </w:tcPr>
          <w:p>
            <w:r>
              <w:rPr>
                <w:sz w:val="16"/>
              </w:rPr>
              <w:t>VinDr external</w:t>
            </w:r>
          </w:p>
        </w:tc>
        <w:tc>
          <w:tcPr>
            <w:tcW w:type="dxa" w:w="1440"/>
            <w:vAlign w:val="center"/>
          </w:tcPr>
          <w:p>
            <w:r>
              <w:rPr>
                <w:sz w:val="16"/>
              </w:rPr>
              <w:t>Edema</w:t>
            </w:r>
          </w:p>
        </w:tc>
        <w:tc>
          <w:tcPr>
            <w:tcW w:type="dxa" w:w="1440"/>
            <w:vAlign w:val="center"/>
          </w:tcPr>
          <w:p>
            <w:r>
              <w:rPr>
                <w:sz w:val="16"/>
              </w:rPr>
              <w:t>0.000</w:t>
            </w:r>
          </w:p>
        </w:tc>
        <w:tc>
          <w:tcPr>
            <w:tcW w:type="dxa" w:w="1440"/>
            <w:vAlign w:val="center"/>
          </w:tcPr>
          <w:p>
            <w:r>
              <w:rPr>
                <w:sz w:val="16"/>
              </w:rPr>
              <w:t>NA (NA-NA)</w:t>
            </w:r>
          </w:p>
        </w:tc>
        <w:tc>
          <w:tcPr>
            <w:tcW w:type="dxa" w:w="1440"/>
            <w:vAlign w:val="center"/>
          </w:tcPr>
          <w:p>
            <w:r>
              <w:rPr>
                <w:sz w:val="16"/>
              </w:rPr>
              <w:t>NA (NA-NA)</w:t>
            </w:r>
          </w:p>
        </w:tc>
        <w:tc>
          <w:tcPr>
            <w:tcW w:type="dxa" w:w="1440"/>
            <w:vAlign w:val="center"/>
          </w:tcPr>
          <w:p>
            <w:r>
              <w:rPr>
                <w:sz w:val="16"/>
              </w:rPr>
              <w:t>NA</w:t>
            </w:r>
          </w:p>
        </w:tc>
      </w:tr>
      <w:tr>
        <w:tc>
          <w:tcPr>
            <w:tcW w:type="dxa" w:w="1440"/>
            <w:vAlign w:val="center"/>
          </w:tcPr>
          <w:p>
            <w:r>
              <w:rPr>
                <w:sz w:val="16"/>
              </w:rPr>
              <w:t>DenseNet121</w:t>
            </w:r>
          </w:p>
        </w:tc>
        <w:tc>
          <w:tcPr>
            <w:tcW w:type="dxa" w:w="1440"/>
            <w:vAlign w:val="center"/>
          </w:tcPr>
          <w:p>
            <w:r>
              <w:rPr>
                <w:sz w:val="16"/>
              </w:rPr>
              <w:t>VinDr external</w:t>
            </w:r>
          </w:p>
        </w:tc>
        <w:tc>
          <w:tcPr>
            <w:tcW w:type="dxa" w:w="1440"/>
            <w:vAlign w:val="center"/>
          </w:tcPr>
          <w:p>
            <w:r>
              <w:rPr>
                <w:sz w:val="16"/>
              </w:rPr>
              <w:t>Pneumonia</w:t>
            </w:r>
          </w:p>
        </w:tc>
        <w:tc>
          <w:tcPr>
            <w:tcW w:type="dxa" w:w="1440"/>
            <w:vAlign w:val="center"/>
          </w:tcPr>
          <w:p>
            <w:r>
              <w:rPr>
                <w:sz w:val="16"/>
              </w:rPr>
              <w:t>0.000</w:t>
            </w:r>
          </w:p>
        </w:tc>
        <w:tc>
          <w:tcPr>
            <w:tcW w:type="dxa" w:w="1440"/>
            <w:vAlign w:val="center"/>
          </w:tcPr>
          <w:p>
            <w:r>
              <w:rPr>
                <w:sz w:val="16"/>
              </w:rPr>
              <w:t>NA (NA-NA)</w:t>
            </w:r>
          </w:p>
        </w:tc>
        <w:tc>
          <w:tcPr>
            <w:tcW w:type="dxa" w:w="1440"/>
            <w:vAlign w:val="center"/>
          </w:tcPr>
          <w:p>
            <w:r>
              <w:rPr>
                <w:sz w:val="16"/>
              </w:rPr>
              <w:t>NA (NA-NA)</w:t>
            </w:r>
          </w:p>
        </w:tc>
        <w:tc>
          <w:tcPr>
            <w:tcW w:type="dxa" w:w="1440"/>
            <w:vAlign w:val="center"/>
          </w:tcPr>
          <w:p>
            <w:r>
              <w:rPr>
                <w:sz w:val="16"/>
              </w:rPr>
              <w:t>NA</w:t>
            </w:r>
          </w:p>
        </w:tc>
      </w:tr>
      <w:tr>
        <w:tc>
          <w:tcPr>
            <w:tcW w:type="dxa" w:w="1440"/>
            <w:vAlign w:val="center"/>
          </w:tcPr>
          <w:p>
            <w:r>
              <w:rPr>
                <w:sz w:val="16"/>
              </w:rPr>
              <w:t>DenseNet121</w:t>
            </w:r>
          </w:p>
        </w:tc>
        <w:tc>
          <w:tcPr>
            <w:tcW w:type="dxa" w:w="1440"/>
            <w:vAlign w:val="center"/>
          </w:tcPr>
          <w:p>
            <w:r>
              <w:rPr>
                <w:sz w:val="16"/>
              </w:rPr>
              <w:t>VinDr external</w:t>
            </w:r>
          </w:p>
        </w:tc>
        <w:tc>
          <w:tcPr>
            <w:tcW w:type="dxa" w:w="1440"/>
            <w:vAlign w:val="center"/>
          </w:tcPr>
          <w:p>
            <w:r>
              <w:rPr>
                <w:sz w:val="16"/>
              </w:rPr>
              <w:t>No Finding</w:t>
            </w:r>
          </w:p>
        </w:tc>
        <w:tc>
          <w:tcPr>
            <w:tcW w:type="dxa" w:w="1440"/>
            <w:vAlign w:val="center"/>
          </w:tcPr>
          <w:p>
            <w:r>
              <w:rPr>
                <w:sz w:val="16"/>
              </w:rPr>
              <w:t>0.414</w:t>
            </w:r>
          </w:p>
        </w:tc>
        <w:tc>
          <w:tcPr>
            <w:tcW w:type="dxa" w:w="1440"/>
            <w:vAlign w:val="center"/>
          </w:tcPr>
          <w:p>
            <w:r>
              <w:rPr>
                <w:sz w:val="16"/>
              </w:rPr>
              <w:t>0.846 (0.823-0.869)</w:t>
            </w:r>
          </w:p>
        </w:tc>
        <w:tc>
          <w:tcPr>
            <w:tcW w:type="dxa" w:w="1440"/>
            <w:vAlign w:val="center"/>
          </w:tcPr>
          <w:p>
            <w:r>
              <w:rPr>
                <w:sz w:val="16"/>
              </w:rPr>
              <w:t>0.782 (0.738-0.821)</w:t>
            </w:r>
          </w:p>
        </w:tc>
        <w:tc>
          <w:tcPr>
            <w:tcW w:type="dxa" w:w="1440"/>
            <w:vAlign w:val="center"/>
          </w:tcPr>
          <w:p>
            <w:r>
              <w:rPr>
                <w:sz w:val="16"/>
              </w:rPr>
              <w:t>0.634</w:t>
            </w:r>
          </w:p>
        </w:tc>
      </w:tr>
      <w:tr>
        <w:tc>
          <w:tcPr>
            <w:tcW w:type="dxa" w:w="1440"/>
            <w:vAlign w:val="center"/>
          </w:tcPr>
          <w:p>
            <w:r>
              <w:rPr>
                <w:sz w:val="16"/>
              </w:rPr>
              <w:t>ResNet50</w:t>
            </w:r>
          </w:p>
        </w:tc>
        <w:tc>
          <w:tcPr>
            <w:tcW w:type="dxa" w:w="1440"/>
            <w:vAlign w:val="center"/>
          </w:tcPr>
          <w:p>
            <w:r>
              <w:rPr>
                <w:sz w:val="16"/>
              </w:rPr>
              <w:t>NIH internal</w:t>
            </w:r>
          </w:p>
        </w:tc>
        <w:tc>
          <w:tcPr>
            <w:tcW w:type="dxa" w:w="1440"/>
            <w:vAlign w:val="center"/>
          </w:tcPr>
          <w:p>
            <w:r>
              <w:rPr>
                <w:sz w:val="16"/>
              </w:rPr>
              <w:t>Atelectasis</w:t>
            </w:r>
          </w:p>
        </w:tc>
        <w:tc>
          <w:tcPr>
            <w:tcW w:type="dxa" w:w="1440"/>
            <w:vAlign w:val="center"/>
          </w:tcPr>
          <w:p>
            <w:r>
              <w:rPr>
                <w:sz w:val="16"/>
              </w:rPr>
              <w:t>0.120</w:t>
            </w:r>
          </w:p>
        </w:tc>
        <w:tc>
          <w:tcPr>
            <w:tcW w:type="dxa" w:w="1440"/>
            <w:vAlign w:val="center"/>
          </w:tcPr>
          <w:p>
            <w:r>
              <w:rPr>
                <w:sz w:val="16"/>
              </w:rPr>
              <w:t>0.668 (0.601-0.735)</w:t>
            </w:r>
          </w:p>
        </w:tc>
        <w:tc>
          <w:tcPr>
            <w:tcW w:type="dxa" w:w="1440"/>
            <w:vAlign w:val="center"/>
          </w:tcPr>
          <w:p>
            <w:r>
              <w:rPr>
                <w:sz w:val="16"/>
              </w:rPr>
              <w:t>0.215 (0.161-0.306)</w:t>
            </w:r>
          </w:p>
        </w:tc>
        <w:tc>
          <w:tcPr>
            <w:tcW w:type="dxa" w:w="1440"/>
            <w:vAlign w:val="center"/>
          </w:tcPr>
          <w:p>
            <w:r>
              <w:rPr>
                <w:sz w:val="16"/>
              </w:rPr>
              <w:t>0.302</w:t>
            </w:r>
          </w:p>
        </w:tc>
      </w:tr>
      <w:tr>
        <w:tc>
          <w:tcPr>
            <w:tcW w:type="dxa" w:w="1440"/>
            <w:vAlign w:val="center"/>
          </w:tcPr>
          <w:p>
            <w:r>
              <w:rPr>
                <w:sz w:val="16"/>
              </w:rPr>
              <w:t>ResNet50</w:t>
            </w:r>
          </w:p>
        </w:tc>
        <w:tc>
          <w:tcPr>
            <w:tcW w:type="dxa" w:w="1440"/>
            <w:vAlign w:val="center"/>
          </w:tcPr>
          <w:p>
            <w:r>
              <w:rPr>
                <w:sz w:val="16"/>
              </w:rPr>
              <w:t>NIH internal</w:t>
            </w:r>
          </w:p>
        </w:tc>
        <w:tc>
          <w:tcPr>
            <w:tcW w:type="dxa" w:w="1440"/>
            <w:vAlign w:val="center"/>
          </w:tcPr>
          <w:p>
            <w:r>
              <w:rPr>
                <w:sz w:val="16"/>
              </w:rPr>
              <w:t>Cardiomegaly</w:t>
            </w:r>
          </w:p>
        </w:tc>
        <w:tc>
          <w:tcPr>
            <w:tcW w:type="dxa" w:w="1440"/>
            <w:vAlign w:val="center"/>
          </w:tcPr>
          <w:p>
            <w:r>
              <w:rPr>
                <w:sz w:val="16"/>
              </w:rPr>
              <w:t>0.035</w:t>
            </w:r>
          </w:p>
        </w:tc>
        <w:tc>
          <w:tcPr>
            <w:tcW w:type="dxa" w:w="1440"/>
            <w:vAlign w:val="center"/>
          </w:tcPr>
          <w:p>
            <w:r>
              <w:rPr>
                <w:sz w:val="16"/>
              </w:rPr>
              <w:t>0.609 (0.479-0.739)</w:t>
            </w:r>
          </w:p>
        </w:tc>
        <w:tc>
          <w:tcPr>
            <w:tcW w:type="dxa" w:w="1440"/>
            <w:vAlign w:val="center"/>
          </w:tcPr>
          <w:p>
            <w:r>
              <w:rPr>
                <w:sz w:val="16"/>
              </w:rPr>
              <w:t>0.097 (0.037-0.227)</w:t>
            </w:r>
          </w:p>
        </w:tc>
        <w:tc>
          <w:tcPr>
            <w:tcW w:type="dxa" w:w="1440"/>
            <w:vAlign w:val="center"/>
          </w:tcPr>
          <w:p>
            <w:r>
              <w:rPr>
                <w:sz w:val="16"/>
              </w:rPr>
              <w:t>0.106</w:t>
            </w:r>
          </w:p>
        </w:tc>
      </w:tr>
      <w:tr>
        <w:tc>
          <w:tcPr>
            <w:tcW w:type="dxa" w:w="1440"/>
            <w:vAlign w:val="center"/>
          </w:tcPr>
          <w:p>
            <w:r>
              <w:rPr>
                <w:sz w:val="16"/>
              </w:rPr>
              <w:t>ResNet50</w:t>
            </w:r>
          </w:p>
        </w:tc>
        <w:tc>
          <w:tcPr>
            <w:tcW w:type="dxa" w:w="1440"/>
            <w:vAlign w:val="center"/>
          </w:tcPr>
          <w:p>
            <w:r>
              <w:rPr>
                <w:sz w:val="16"/>
              </w:rPr>
              <w:t>NIH internal</w:t>
            </w:r>
          </w:p>
        </w:tc>
        <w:tc>
          <w:tcPr>
            <w:tcW w:type="dxa" w:w="1440"/>
            <w:vAlign w:val="center"/>
          </w:tcPr>
          <w:p>
            <w:r>
              <w:rPr>
                <w:sz w:val="16"/>
              </w:rPr>
              <w:t>Pleural Effusion</w:t>
            </w:r>
          </w:p>
        </w:tc>
        <w:tc>
          <w:tcPr>
            <w:tcW w:type="dxa" w:w="1440"/>
            <w:vAlign w:val="center"/>
          </w:tcPr>
          <w:p>
            <w:r>
              <w:rPr>
                <w:sz w:val="16"/>
              </w:rPr>
              <w:t>0.147</w:t>
            </w:r>
          </w:p>
        </w:tc>
        <w:tc>
          <w:tcPr>
            <w:tcW w:type="dxa" w:w="1440"/>
            <w:vAlign w:val="center"/>
          </w:tcPr>
          <w:p>
            <w:r>
              <w:rPr>
                <w:sz w:val="16"/>
              </w:rPr>
              <w:t>0.712 (0.659-0.765)</w:t>
            </w:r>
          </w:p>
        </w:tc>
        <w:tc>
          <w:tcPr>
            <w:tcW w:type="dxa" w:w="1440"/>
            <w:vAlign w:val="center"/>
          </w:tcPr>
          <w:p>
            <w:r>
              <w:rPr>
                <w:sz w:val="16"/>
              </w:rPr>
              <w:t>0.378 (0.290-0.468)</w:t>
            </w:r>
          </w:p>
        </w:tc>
        <w:tc>
          <w:tcPr>
            <w:tcW w:type="dxa" w:w="1440"/>
            <w:vAlign w:val="center"/>
          </w:tcPr>
          <w:p>
            <w:r>
              <w:rPr>
                <w:sz w:val="16"/>
              </w:rPr>
              <w:t>0.380</w:t>
            </w:r>
          </w:p>
        </w:tc>
      </w:tr>
      <w:tr>
        <w:tc>
          <w:tcPr>
            <w:tcW w:type="dxa" w:w="1440"/>
            <w:vAlign w:val="center"/>
          </w:tcPr>
          <w:p>
            <w:r>
              <w:rPr>
                <w:sz w:val="16"/>
              </w:rPr>
              <w:t>ResNet50</w:t>
            </w:r>
          </w:p>
        </w:tc>
        <w:tc>
          <w:tcPr>
            <w:tcW w:type="dxa" w:w="1440"/>
            <w:vAlign w:val="center"/>
          </w:tcPr>
          <w:p>
            <w:r>
              <w:rPr>
                <w:sz w:val="16"/>
              </w:rPr>
              <w:t>NIH internal</w:t>
            </w:r>
          </w:p>
        </w:tc>
        <w:tc>
          <w:tcPr>
            <w:tcW w:type="dxa" w:w="1440"/>
            <w:vAlign w:val="center"/>
          </w:tcPr>
          <w:p>
            <w:r>
              <w:rPr>
                <w:sz w:val="16"/>
              </w:rPr>
              <w:t>Pneumothorax</w:t>
            </w:r>
          </w:p>
        </w:tc>
        <w:tc>
          <w:tcPr>
            <w:tcW w:type="dxa" w:w="1440"/>
            <w:vAlign w:val="center"/>
          </w:tcPr>
          <w:p>
            <w:r>
              <w:rPr>
                <w:sz w:val="16"/>
              </w:rPr>
              <w:t>0.057</w:t>
            </w:r>
          </w:p>
        </w:tc>
        <w:tc>
          <w:tcPr>
            <w:tcW w:type="dxa" w:w="1440"/>
            <w:vAlign w:val="center"/>
          </w:tcPr>
          <w:p>
            <w:r>
              <w:rPr>
                <w:sz w:val="16"/>
              </w:rPr>
              <w:t>0.659 (0.561-0.743)</w:t>
            </w:r>
          </w:p>
        </w:tc>
        <w:tc>
          <w:tcPr>
            <w:tcW w:type="dxa" w:w="1440"/>
            <w:vAlign w:val="center"/>
          </w:tcPr>
          <w:p>
            <w:r>
              <w:rPr>
                <w:sz w:val="16"/>
              </w:rPr>
              <w:t>0.097 (0.063-0.166)</w:t>
            </w:r>
          </w:p>
        </w:tc>
        <w:tc>
          <w:tcPr>
            <w:tcW w:type="dxa" w:w="1440"/>
            <w:vAlign w:val="center"/>
          </w:tcPr>
          <w:p>
            <w:r>
              <w:rPr>
                <w:sz w:val="16"/>
              </w:rPr>
              <w:t>0.162</w:t>
            </w:r>
          </w:p>
        </w:tc>
      </w:tr>
      <w:tr>
        <w:tc>
          <w:tcPr>
            <w:tcW w:type="dxa" w:w="1440"/>
            <w:vAlign w:val="center"/>
          </w:tcPr>
          <w:p>
            <w:r>
              <w:rPr>
                <w:sz w:val="16"/>
              </w:rPr>
              <w:t>ResNet50</w:t>
            </w:r>
          </w:p>
        </w:tc>
        <w:tc>
          <w:tcPr>
            <w:tcW w:type="dxa" w:w="1440"/>
            <w:vAlign w:val="center"/>
          </w:tcPr>
          <w:p>
            <w:r>
              <w:rPr>
                <w:sz w:val="16"/>
              </w:rPr>
              <w:t>NIH internal</w:t>
            </w:r>
          </w:p>
        </w:tc>
        <w:tc>
          <w:tcPr>
            <w:tcW w:type="dxa" w:w="1440"/>
            <w:vAlign w:val="center"/>
          </w:tcPr>
          <w:p>
            <w:r>
              <w:rPr>
                <w:sz w:val="16"/>
              </w:rPr>
              <w:t>Consolidation</w:t>
            </w:r>
          </w:p>
        </w:tc>
        <w:tc>
          <w:tcPr>
            <w:tcW w:type="dxa" w:w="1440"/>
            <w:vAlign w:val="center"/>
          </w:tcPr>
          <w:p>
            <w:r>
              <w:rPr>
                <w:sz w:val="16"/>
              </w:rPr>
              <w:t>0.055</w:t>
            </w:r>
          </w:p>
        </w:tc>
        <w:tc>
          <w:tcPr>
            <w:tcW w:type="dxa" w:w="1440"/>
            <w:vAlign w:val="center"/>
          </w:tcPr>
          <w:p>
            <w:r>
              <w:rPr>
                <w:sz w:val="16"/>
              </w:rPr>
              <w:t>0.585 (0.501-0.667)</w:t>
            </w:r>
          </w:p>
        </w:tc>
        <w:tc>
          <w:tcPr>
            <w:tcW w:type="dxa" w:w="1440"/>
            <w:vAlign w:val="center"/>
          </w:tcPr>
          <w:p>
            <w:r>
              <w:rPr>
                <w:sz w:val="16"/>
              </w:rPr>
              <w:t>0.067 (0.049-0.102)</w:t>
            </w:r>
          </w:p>
        </w:tc>
        <w:tc>
          <w:tcPr>
            <w:tcW w:type="dxa" w:w="1440"/>
            <w:vAlign w:val="center"/>
          </w:tcPr>
          <w:p>
            <w:r>
              <w:rPr>
                <w:sz w:val="16"/>
              </w:rPr>
              <w:t>0.140</w:t>
            </w:r>
          </w:p>
        </w:tc>
      </w:tr>
      <w:tr>
        <w:tc>
          <w:tcPr>
            <w:tcW w:type="dxa" w:w="1440"/>
            <w:vAlign w:val="center"/>
          </w:tcPr>
          <w:p>
            <w:r>
              <w:rPr>
                <w:sz w:val="16"/>
              </w:rPr>
              <w:t>ResNet50</w:t>
            </w:r>
          </w:p>
        </w:tc>
        <w:tc>
          <w:tcPr>
            <w:tcW w:type="dxa" w:w="1440"/>
            <w:vAlign w:val="center"/>
          </w:tcPr>
          <w:p>
            <w:r>
              <w:rPr>
                <w:sz w:val="16"/>
              </w:rPr>
              <w:t>NIH internal</w:t>
            </w:r>
          </w:p>
        </w:tc>
        <w:tc>
          <w:tcPr>
            <w:tcW w:type="dxa" w:w="1440"/>
            <w:vAlign w:val="center"/>
          </w:tcPr>
          <w:p>
            <w:r>
              <w:rPr>
                <w:sz w:val="16"/>
              </w:rPr>
              <w:t>Edema</w:t>
            </w:r>
          </w:p>
        </w:tc>
        <w:tc>
          <w:tcPr>
            <w:tcW w:type="dxa" w:w="1440"/>
            <w:vAlign w:val="center"/>
          </w:tcPr>
          <w:p>
            <w:r>
              <w:rPr>
                <w:sz w:val="16"/>
              </w:rPr>
              <w:t>0.020</w:t>
            </w:r>
          </w:p>
        </w:tc>
        <w:tc>
          <w:tcPr>
            <w:tcW w:type="dxa" w:w="1440"/>
            <w:vAlign w:val="center"/>
          </w:tcPr>
          <w:p>
            <w:r>
              <w:rPr>
                <w:sz w:val="16"/>
              </w:rPr>
              <w:t>0.714 (0.575-0.835)</w:t>
            </w:r>
          </w:p>
        </w:tc>
        <w:tc>
          <w:tcPr>
            <w:tcW w:type="dxa" w:w="1440"/>
            <w:vAlign w:val="center"/>
          </w:tcPr>
          <w:p>
            <w:r>
              <w:rPr>
                <w:sz w:val="16"/>
              </w:rPr>
              <w:t>0.052 (0.021-0.118)</w:t>
            </w:r>
          </w:p>
        </w:tc>
        <w:tc>
          <w:tcPr>
            <w:tcW w:type="dxa" w:w="1440"/>
            <w:vAlign w:val="center"/>
          </w:tcPr>
          <w:p>
            <w:r>
              <w:rPr>
                <w:sz w:val="16"/>
              </w:rPr>
              <w:t>0.109</w:t>
            </w:r>
          </w:p>
        </w:tc>
      </w:tr>
      <w:tr>
        <w:tc>
          <w:tcPr>
            <w:tcW w:type="dxa" w:w="1440"/>
            <w:vAlign w:val="center"/>
          </w:tcPr>
          <w:p>
            <w:r>
              <w:rPr>
                <w:sz w:val="16"/>
              </w:rPr>
              <w:t>ResNet50</w:t>
            </w:r>
          </w:p>
        </w:tc>
        <w:tc>
          <w:tcPr>
            <w:tcW w:type="dxa" w:w="1440"/>
            <w:vAlign w:val="center"/>
          </w:tcPr>
          <w:p>
            <w:r>
              <w:rPr>
                <w:sz w:val="16"/>
              </w:rPr>
              <w:t>NIH internal</w:t>
            </w:r>
          </w:p>
        </w:tc>
        <w:tc>
          <w:tcPr>
            <w:tcW w:type="dxa" w:w="1440"/>
            <w:vAlign w:val="center"/>
          </w:tcPr>
          <w:p>
            <w:r>
              <w:rPr>
                <w:sz w:val="16"/>
              </w:rPr>
              <w:t>Pneumonia</w:t>
            </w:r>
          </w:p>
        </w:tc>
        <w:tc>
          <w:tcPr>
            <w:tcW w:type="dxa" w:w="1440"/>
            <w:vAlign w:val="center"/>
          </w:tcPr>
          <w:p>
            <w:r>
              <w:rPr>
                <w:sz w:val="16"/>
              </w:rPr>
              <w:t>0.023</w:t>
            </w:r>
          </w:p>
        </w:tc>
        <w:tc>
          <w:tcPr>
            <w:tcW w:type="dxa" w:w="1440"/>
            <w:vAlign w:val="center"/>
          </w:tcPr>
          <w:p>
            <w:r>
              <w:rPr>
                <w:sz w:val="16"/>
              </w:rPr>
              <w:t>0.543 (0.437-0.650)</w:t>
            </w:r>
          </w:p>
        </w:tc>
        <w:tc>
          <w:tcPr>
            <w:tcW w:type="dxa" w:w="1440"/>
            <w:vAlign w:val="center"/>
          </w:tcPr>
          <w:p>
            <w:r>
              <w:rPr>
                <w:sz w:val="16"/>
              </w:rPr>
              <w:t>0.025 (0.015-0.044)</w:t>
            </w:r>
          </w:p>
        </w:tc>
        <w:tc>
          <w:tcPr>
            <w:tcW w:type="dxa" w:w="1440"/>
            <w:vAlign w:val="center"/>
          </w:tcPr>
          <w:p>
            <w:r>
              <w:rPr>
                <w:sz w:val="16"/>
              </w:rPr>
              <w:t>0.037</w:t>
            </w:r>
          </w:p>
        </w:tc>
      </w:tr>
      <w:tr>
        <w:tc>
          <w:tcPr>
            <w:tcW w:type="dxa" w:w="1440"/>
            <w:vAlign w:val="center"/>
          </w:tcPr>
          <w:p>
            <w:r>
              <w:rPr>
                <w:sz w:val="16"/>
              </w:rPr>
              <w:t>ResNet50</w:t>
            </w:r>
          </w:p>
        </w:tc>
        <w:tc>
          <w:tcPr>
            <w:tcW w:type="dxa" w:w="1440"/>
            <w:vAlign w:val="center"/>
          </w:tcPr>
          <w:p>
            <w:r>
              <w:rPr>
                <w:sz w:val="16"/>
              </w:rPr>
              <w:t>NIH internal</w:t>
            </w:r>
          </w:p>
        </w:tc>
        <w:tc>
          <w:tcPr>
            <w:tcW w:type="dxa" w:w="1440"/>
            <w:vAlign w:val="center"/>
          </w:tcPr>
          <w:p>
            <w:r>
              <w:rPr>
                <w:sz w:val="16"/>
              </w:rPr>
              <w:t>No Finding</w:t>
            </w:r>
          </w:p>
        </w:tc>
        <w:tc>
          <w:tcPr>
            <w:tcW w:type="dxa" w:w="1440"/>
            <w:vAlign w:val="center"/>
          </w:tcPr>
          <w:p>
            <w:r>
              <w:rPr>
                <w:sz w:val="16"/>
              </w:rPr>
              <w:t>0.507</w:t>
            </w:r>
          </w:p>
        </w:tc>
        <w:tc>
          <w:tcPr>
            <w:tcW w:type="dxa" w:w="1440"/>
            <w:vAlign w:val="center"/>
          </w:tcPr>
          <w:p>
            <w:r>
              <w:rPr>
                <w:sz w:val="16"/>
              </w:rPr>
              <w:t>0.684 (0.637-0.734)</w:t>
            </w:r>
          </w:p>
        </w:tc>
        <w:tc>
          <w:tcPr>
            <w:tcW w:type="dxa" w:w="1440"/>
            <w:vAlign w:val="center"/>
          </w:tcPr>
          <w:p>
            <w:r>
              <w:rPr>
                <w:sz w:val="16"/>
              </w:rPr>
              <w:t>0.672 (0.606-0.729)</w:t>
            </w:r>
          </w:p>
        </w:tc>
        <w:tc>
          <w:tcPr>
            <w:tcW w:type="dxa" w:w="1440"/>
            <w:vAlign w:val="center"/>
          </w:tcPr>
          <w:p>
            <w:r>
              <w:rPr>
                <w:sz w:val="16"/>
              </w:rPr>
              <w:t>0.662</w:t>
            </w:r>
          </w:p>
        </w:tc>
      </w:tr>
      <w:tr>
        <w:tc>
          <w:tcPr>
            <w:tcW w:type="dxa" w:w="1440"/>
            <w:vAlign w:val="center"/>
          </w:tcPr>
          <w:p>
            <w:r>
              <w:rPr>
                <w:sz w:val="16"/>
              </w:rPr>
              <w:t>ResNet50</w:t>
            </w:r>
          </w:p>
        </w:tc>
        <w:tc>
          <w:tcPr>
            <w:tcW w:type="dxa" w:w="1440"/>
            <w:vAlign w:val="center"/>
          </w:tcPr>
          <w:p>
            <w:r>
              <w:rPr>
                <w:sz w:val="16"/>
              </w:rPr>
              <w:t>VinDr external</w:t>
            </w:r>
          </w:p>
        </w:tc>
        <w:tc>
          <w:tcPr>
            <w:tcW w:type="dxa" w:w="1440"/>
            <w:vAlign w:val="center"/>
          </w:tcPr>
          <w:p>
            <w:r>
              <w:rPr>
                <w:sz w:val="16"/>
              </w:rPr>
              <w:t>Atelectasis</w:t>
            </w:r>
          </w:p>
        </w:tc>
        <w:tc>
          <w:tcPr>
            <w:tcW w:type="dxa" w:w="1440"/>
            <w:vAlign w:val="center"/>
          </w:tcPr>
          <w:p>
            <w:r>
              <w:rPr>
                <w:sz w:val="16"/>
              </w:rPr>
              <w:t>0.131</w:t>
            </w:r>
          </w:p>
        </w:tc>
        <w:tc>
          <w:tcPr>
            <w:tcW w:type="dxa" w:w="1440"/>
            <w:vAlign w:val="center"/>
          </w:tcPr>
          <w:p>
            <w:r>
              <w:rPr>
                <w:sz w:val="16"/>
              </w:rPr>
              <w:t>0.701 (0.662-0.741)</w:t>
            </w:r>
          </w:p>
        </w:tc>
        <w:tc>
          <w:tcPr>
            <w:tcW w:type="dxa" w:w="1440"/>
            <w:vAlign w:val="center"/>
          </w:tcPr>
          <w:p>
            <w:r>
              <w:rPr>
                <w:sz w:val="16"/>
              </w:rPr>
              <w:t>0.233 (0.184-0.289)</w:t>
            </w:r>
          </w:p>
        </w:tc>
        <w:tc>
          <w:tcPr>
            <w:tcW w:type="dxa" w:w="1440"/>
            <w:vAlign w:val="center"/>
          </w:tcPr>
          <w:p>
            <w:r>
              <w:rPr>
                <w:sz w:val="16"/>
              </w:rPr>
              <w:t>0.275</w:t>
            </w:r>
          </w:p>
        </w:tc>
      </w:tr>
      <w:tr>
        <w:tc>
          <w:tcPr>
            <w:tcW w:type="dxa" w:w="1440"/>
            <w:vAlign w:val="center"/>
          </w:tcPr>
          <w:p>
            <w:r>
              <w:rPr>
                <w:sz w:val="16"/>
              </w:rPr>
              <w:t>ResNet50</w:t>
            </w:r>
          </w:p>
        </w:tc>
        <w:tc>
          <w:tcPr>
            <w:tcW w:type="dxa" w:w="1440"/>
            <w:vAlign w:val="center"/>
          </w:tcPr>
          <w:p>
            <w:r>
              <w:rPr>
                <w:sz w:val="16"/>
              </w:rPr>
              <w:t>VinDr external</w:t>
            </w:r>
          </w:p>
        </w:tc>
        <w:tc>
          <w:tcPr>
            <w:tcW w:type="dxa" w:w="1440"/>
            <w:vAlign w:val="center"/>
          </w:tcPr>
          <w:p>
            <w:r>
              <w:rPr>
                <w:sz w:val="16"/>
              </w:rPr>
              <w:t>Cardiomegaly</w:t>
            </w:r>
          </w:p>
        </w:tc>
        <w:tc>
          <w:tcPr>
            <w:tcW w:type="dxa" w:w="1440"/>
            <w:vAlign w:val="center"/>
          </w:tcPr>
          <w:p>
            <w:r>
              <w:rPr>
                <w:sz w:val="16"/>
              </w:rPr>
              <w:t>0.276</w:t>
            </w:r>
          </w:p>
        </w:tc>
        <w:tc>
          <w:tcPr>
            <w:tcW w:type="dxa" w:w="1440"/>
            <w:vAlign w:val="center"/>
          </w:tcPr>
          <w:p>
            <w:r>
              <w:rPr>
                <w:sz w:val="16"/>
              </w:rPr>
              <w:t>0.621 (0.578-0.658)</w:t>
            </w:r>
          </w:p>
        </w:tc>
        <w:tc>
          <w:tcPr>
            <w:tcW w:type="dxa" w:w="1440"/>
            <w:vAlign w:val="center"/>
          </w:tcPr>
          <w:p>
            <w:r>
              <w:rPr>
                <w:sz w:val="16"/>
              </w:rPr>
              <w:t>0.401 (0.349-0.467)</w:t>
            </w:r>
          </w:p>
        </w:tc>
        <w:tc>
          <w:tcPr>
            <w:tcW w:type="dxa" w:w="1440"/>
            <w:vAlign w:val="center"/>
          </w:tcPr>
          <w:p>
            <w:r>
              <w:rPr>
                <w:sz w:val="16"/>
              </w:rPr>
              <w:t>0.391</w:t>
            </w:r>
          </w:p>
        </w:tc>
      </w:tr>
      <w:tr>
        <w:tc>
          <w:tcPr>
            <w:tcW w:type="dxa" w:w="1440"/>
            <w:vAlign w:val="center"/>
          </w:tcPr>
          <w:p>
            <w:r>
              <w:rPr>
                <w:sz w:val="16"/>
              </w:rPr>
              <w:t>ResNet50</w:t>
            </w:r>
          </w:p>
        </w:tc>
        <w:tc>
          <w:tcPr>
            <w:tcW w:type="dxa" w:w="1440"/>
            <w:vAlign w:val="center"/>
          </w:tcPr>
          <w:p>
            <w:r>
              <w:rPr>
                <w:sz w:val="16"/>
              </w:rPr>
              <w:t>VinDr external</w:t>
            </w:r>
          </w:p>
        </w:tc>
        <w:tc>
          <w:tcPr>
            <w:tcW w:type="dxa" w:w="1440"/>
            <w:vAlign w:val="center"/>
          </w:tcPr>
          <w:p>
            <w:r>
              <w:rPr>
                <w:sz w:val="16"/>
              </w:rPr>
              <w:t>Pleural Effusion</w:t>
            </w:r>
          </w:p>
        </w:tc>
        <w:tc>
          <w:tcPr>
            <w:tcW w:type="dxa" w:w="1440"/>
            <w:vAlign w:val="center"/>
          </w:tcPr>
          <w:p>
            <w:r>
              <w:rPr>
                <w:sz w:val="16"/>
              </w:rPr>
              <w:t>0.288</w:t>
            </w:r>
          </w:p>
        </w:tc>
        <w:tc>
          <w:tcPr>
            <w:tcW w:type="dxa" w:w="1440"/>
            <w:vAlign w:val="center"/>
          </w:tcPr>
          <w:p>
            <w:r>
              <w:rPr>
                <w:sz w:val="16"/>
              </w:rPr>
              <w:t>0.800 (0.768-0.834)</w:t>
            </w:r>
          </w:p>
        </w:tc>
        <w:tc>
          <w:tcPr>
            <w:tcW w:type="dxa" w:w="1440"/>
            <w:vAlign w:val="center"/>
          </w:tcPr>
          <w:p>
            <w:r>
              <w:rPr>
                <w:sz w:val="16"/>
              </w:rPr>
              <w:t>0.667 (0.608-0.724)</w:t>
            </w:r>
          </w:p>
        </w:tc>
        <w:tc>
          <w:tcPr>
            <w:tcW w:type="dxa" w:w="1440"/>
            <w:vAlign w:val="center"/>
          </w:tcPr>
          <w:p>
            <w:r>
              <w:rPr>
                <w:sz w:val="16"/>
              </w:rPr>
              <w:t>0.615</w:t>
            </w:r>
          </w:p>
        </w:tc>
      </w:tr>
      <w:tr>
        <w:tc>
          <w:tcPr>
            <w:tcW w:type="dxa" w:w="1440"/>
            <w:vAlign w:val="center"/>
          </w:tcPr>
          <w:p>
            <w:r>
              <w:rPr>
                <w:sz w:val="16"/>
              </w:rPr>
              <w:t>ResNet50</w:t>
            </w:r>
          </w:p>
        </w:tc>
        <w:tc>
          <w:tcPr>
            <w:tcW w:type="dxa" w:w="1440"/>
            <w:vAlign w:val="center"/>
          </w:tcPr>
          <w:p>
            <w:r>
              <w:rPr>
                <w:sz w:val="16"/>
              </w:rPr>
              <w:t>VinDr external</w:t>
            </w:r>
          </w:p>
        </w:tc>
        <w:tc>
          <w:tcPr>
            <w:tcW w:type="dxa" w:w="1440"/>
            <w:vAlign w:val="center"/>
          </w:tcPr>
          <w:p>
            <w:r>
              <w:rPr>
                <w:sz w:val="16"/>
              </w:rPr>
              <w:t>Pneumothorax</w:t>
            </w:r>
          </w:p>
        </w:tc>
        <w:tc>
          <w:tcPr>
            <w:tcW w:type="dxa" w:w="1440"/>
            <w:vAlign w:val="center"/>
          </w:tcPr>
          <w:p>
            <w:r>
              <w:rPr>
                <w:sz w:val="16"/>
              </w:rPr>
              <w:t>0.059</w:t>
            </w:r>
          </w:p>
        </w:tc>
        <w:tc>
          <w:tcPr>
            <w:tcW w:type="dxa" w:w="1440"/>
            <w:vAlign w:val="center"/>
          </w:tcPr>
          <w:p>
            <w:r>
              <w:rPr>
                <w:sz w:val="16"/>
              </w:rPr>
              <w:t>0.663 (0.602-0.726)</w:t>
            </w:r>
          </w:p>
        </w:tc>
        <w:tc>
          <w:tcPr>
            <w:tcW w:type="dxa" w:w="1440"/>
            <w:vAlign w:val="center"/>
          </w:tcPr>
          <w:p>
            <w:r>
              <w:rPr>
                <w:sz w:val="16"/>
              </w:rPr>
              <w:t>0.088 (0.066-0.122)</w:t>
            </w:r>
          </w:p>
        </w:tc>
        <w:tc>
          <w:tcPr>
            <w:tcW w:type="dxa" w:w="1440"/>
            <w:vAlign w:val="center"/>
          </w:tcPr>
          <w:p>
            <w:r>
              <w:rPr>
                <w:sz w:val="16"/>
              </w:rPr>
              <w:t>0.131</w:t>
            </w:r>
          </w:p>
        </w:tc>
      </w:tr>
      <w:tr>
        <w:tc>
          <w:tcPr>
            <w:tcW w:type="dxa" w:w="1440"/>
            <w:vAlign w:val="center"/>
          </w:tcPr>
          <w:p>
            <w:r>
              <w:rPr>
                <w:sz w:val="16"/>
              </w:rPr>
              <w:t>ResNet50</w:t>
            </w:r>
          </w:p>
        </w:tc>
        <w:tc>
          <w:tcPr>
            <w:tcW w:type="dxa" w:w="1440"/>
            <w:vAlign w:val="center"/>
          </w:tcPr>
          <w:p>
            <w:r>
              <w:rPr>
                <w:sz w:val="16"/>
              </w:rPr>
              <w:t>VinDr external</w:t>
            </w:r>
          </w:p>
        </w:tc>
        <w:tc>
          <w:tcPr>
            <w:tcW w:type="dxa" w:w="1440"/>
            <w:vAlign w:val="center"/>
          </w:tcPr>
          <w:p>
            <w:r>
              <w:rPr>
                <w:sz w:val="16"/>
              </w:rPr>
              <w:t>Consolidation</w:t>
            </w:r>
          </w:p>
        </w:tc>
        <w:tc>
          <w:tcPr>
            <w:tcW w:type="dxa" w:w="1440"/>
            <w:vAlign w:val="center"/>
          </w:tcPr>
          <w:p>
            <w:r>
              <w:rPr>
                <w:sz w:val="16"/>
              </w:rPr>
              <w:t>0.175</w:t>
            </w:r>
          </w:p>
        </w:tc>
        <w:tc>
          <w:tcPr>
            <w:tcW w:type="dxa" w:w="1440"/>
            <w:vAlign w:val="center"/>
          </w:tcPr>
          <w:p>
            <w:r>
              <w:rPr>
                <w:sz w:val="16"/>
              </w:rPr>
              <w:t>0.764 (0.730-0.799)</w:t>
            </w:r>
          </w:p>
        </w:tc>
        <w:tc>
          <w:tcPr>
            <w:tcW w:type="dxa" w:w="1440"/>
            <w:vAlign w:val="center"/>
          </w:tcPr>
          <w:p>
            <w:r>
              <w:rPr>
                <w:sz w:val="16"/>
              </w:rPr>
              <w:t>0.375 (0.317-0.450)</w:t>
            </w:r>
          </w:p>
        </w:tc>
        <w:tc>
          <w:tcPr>
            <w:tcW w:type="dxa" w:w="1440"/>
            <w:vAlign w:val="center"/>
          </w:tcPr>
          <w:p>
            <w:r>
              <w:rPr>
                <w:sz w:val="16"/>
              </w:rPr>
              <w:t>0.377</w:t>
            </w:r>
          </w:p>
        </w:tc>
      </w:tr>
      <w:tr>
        <w:tc>
          <w:tcPr>
            <w:tcW w:type="dxa" w:w="1440"/>
            <w:vAlign w:val="center"/>
          </w:tcPr>
          <w:p>
            <w:r>
              <w:rPr>
                <w:sz w:val="16"/>
              </w:rPr>
              <w:t>ResNet50</w:t>
            </w:r>
          </w:p>
        </w:tc>
        <w:tc>
          <w:tcPr>
            <w:tcW w:type="dxa" w:w="1440"/>
            <w:vAlign w:val="center"/>
          </w:tcPr>
          <w:p>
            <w:r>
              <w:rPr>
                <w:sz w:val="16"/>
              </w:rPr>
              <w:t>VinDr external</w:t>
            </w:r>
          </w:p>
        </w:tc>
        <w:tc>
          <w:tcPr>
            <w:tcW w:type="dxa" w:w="1440"/>
            <w:vAlign w:val="center"/>
          </w:tcPr>
          <w:p>
            <w:r>
              <w:rPr>
                <w:sz w:val="16"/>
              </w:rPr>
              <w:t>Edema</w:t>
            </w:r>
          </w:p>
        </w:tc>
        <w:tc>
          <w:tcPr>
            <w:tcW w:type="dxa" w:w="1440"/>
            <w:vAlign w:val="center"/>
          </w:tcPr>
          <w:p>
            <w:r>
              <w:rPr>
                <w:sz w:val="16"/>
              </w:rPr>
              <w:t>0.000</w:t>
            </w:r>
          </w:p>
        </w:tc>
        <w:tc>
          <w:tcPr>
            <w:tcW w:type="dxa" w:w="1440"/>
            <w:vAlign w:val="center"/>
          </w:tcPr>
          <w:p>
            <w:r>
              <w:rPr>
                <w:sz w:val="16"/>
              </w:rPr>
              <w:t>NA (NA-NA)</w:t>
            </w:r>
          </w:p>
        </w:tc>
        <w:tc>
          <w:tcPr>
            <w:tcW w:type="dxa" w:w="1440"/>
            <w:vAlign w:val="center"/>
          </w:tcPr>
          <w:p>
            <w:r>
              <w:rPr>
                <w:sz w:val="16"/>
              </w:rPr>
              <w:t>NA (NA-NA)</w:t>
            </w:r>
          </w:p>
        </w:tc>
        <w:tc>
          <w:tcPr>
            <w:tcW w:type="dxa" w:w="1440"/>
            <w:vAlign w:val="center"/>
          </w:tcPr>
          <w:p>
            <w:r>
              <w:rPr>
                <w:sz w:val="16"/>
              </w:rPr>
              <w:t>NA</w:t>
            </w:r>
          </w:p>
        </w:tc>
      </w:tr>
      <w:tr>
        <w:tc>
          <w:tcPr>
            <w:tcW w:type="dxa" w:w="1440"/>
            <w:vAlign w:val="center"/>
          </w:tcPr>
          <w:p>
            <w:r>
              <w:rPr>
                <w:sz w:val="16"/>
              </w:rPr>
              <w:t>ResNet50</w:t>
            </w:r>
          </w:p>
        </w:tc>
        <w:tc>
          <w:tcPr>
            <w:tcW w:type="dxa" w:w="1440"/>
            <w:vAlign w:val="center"/>
          </w:tcPr>
          <w:p>
            <w:r>
              <w:rPr>
                <w:sz w:val="16"/>
              </w:rPr>
              <w:t>VinDr external</w:t>
            </w:r>
          </w:p>
        </w:tc>
        <w:tc>
          <w:tcPr>
            <w:tcW w:type="dxa" w:w="1440"/>
            <w:vAlign w:val="center"/>
          </w:tcPr>
          <w:p>
            <w:r>
              <w:rPr>
                <w:sz w:val="16"/>
              </w:rPr>
              <w:t>Pneumonia</w:t>
            </w:r>
          </w:p>
        </w:tc>
        <w:tc>
          <w:tcPr>
            <w:tcW w:type="dxa" w:w="1440"/>
            <w:vAlign w:val="center"/>
          </w:tcPr>
          <w:p>
            <w:r>
              <w:rPr>
                <w:sz w:val="16"/>
              </w:rPr>
              <w:t>0.000</w:t>
            </w:r>
          </w:p>
        </w:tc>
        <w:tc>
          <w:tcPr>
            <w:tcW w:type="dxa" w:w="1440"/>
            <w:vAlign w:val="center"/>
          </w:tcPr>
          <w:p>
            <w:r>
              <w:rPr>
                <w:sz w:val="16"/>
              </w:rPr>
              <w:t>NA (NA-NA)</w:t>
            </w:r>
          </w:p>
        </w:tc>
        <w:tc>
          <w:tcPr>
            <w:tcW w:type="dxa" w:w="1440"/>
            <w:vAlign w:val="center"/>
          </w:tcPr>
          <w:p>
            <w:r>
              <w:rPr>
                <w:sz w:val="16"/>
              </w:rPr>
              <w:t>NA (NA-NA)</w:t>
            </w:r>
          </w:p>
        </w:tc>
        <w:tc>
          <w:tcPr>
            <w:tcW w:type="dxa" w:w="1440"/>
            <w:vAlign w:val="center"/>
          </w:tcPr>
          <w:p>
            <w:r>
              <w:rPr>
                <w:sz w:val="16"/>
              </w:rPr>
              <w:t>NA</w:t>
            </w:r>
          </w:p>
        </w:tc>
      </w:tr>
      <w:tr>
        <w:tc>
          <w:tcPr>
            <w:tcW w:type="dxa" w:w="1440"/>
            <w:vAlign w:val="center"/>
          </w:tcPr>
          <w:p>
            <w:r>
              <w:rPr>
                <w:sz w:val="16"/>
              </w:rPr>
              <w:t>ResNet50</w:t>
            </w:r>
          </w:p>
        </w:tc>
        <w:tc>
          <w:tcPr>
            <w:tcW w:type="dxa" w:w="1440"/>
            <w:vAlign w:val="center"/>
          </w:tcPr>
          <w:p>
            <w:r>
              <w:rPr>
                <w:sz w:val="16"/>
              </w:rPr>
              <w:t>VinDr external</w:t>
            </w:r>
          </w:p>
        </w:tc>
        <w:tc>
          <w:tcPr>
            <w:tcW w:type="dxa" w:w="1440"/>
            <w:vAlign w:val="center"/>
          </w:tcPr>
          <w:p>
            <w:r>
              <w:rPr>
                <w:sz w:val="16"/>
              </w:rPr>
              <w:t>No Finding</w:t>
            </w:r>
          </w:p>
        </w:tc>
        <w:tc>
          <w:tcPr>
            <w:tcW w:type="dxa" w:w="1440"/>
            <w:vAlign w:val="center"/>
          </w:tcPr>
          <w:p>
            <w:r>
              <w:rPr>
                <w:sz w:val="16"/>
              </w:rPr>
              <w:t>0.414</w:t>
            </w:r>
          </w:p>
        </w:tc>
        <w:tc>
          <w:tcPr>
            <w:tcW w:type="dxa" w:w="1440"/>
            <w:vAlign w:val="center"/>
          </w:tcPr>
          <w:p>
            <w:r>
              <w:rPr>
                <w:sz w:val="16"/>
              </w:rPr>
              <w:t>0.819 (0.792-0.843)</w:t>
            </w:r>
          </w:p>
        </w:tc>
        <w:tc>
          <w:tcPr>
            <w:tcW w:type="dxa" w:w="1440"/>
            <w:vAlign w:val="center"/>
          </w:tcPr>
          <w:p>
            <w:r>
              <w:rPr>
                <w:sz w:val="16"/>
              </w:rPr>
              <w:t>0.747 (0.704-0.790)</w:t>
            </w:r>
          </w:p>
        </w:tc>
        <w:tc>
          <w:tcPr>
            <w:tcW w:type="dxa" w:w="1440"/>
            <w:vAlign w:val="center"/>
          </w:tcPr>
          <w:p>
            <w:r>
              <w:rPr>
                <w:sz w:val="16"/>
              </w:rPr>
              <w:t>0.709</w:t>
            </w:r>
          </w:p>
        </w:tc>
      </w:tr>
      <w:tr>
        <w:tc>
          <w:tcPr>
            <w:tcW w:type="dxa" w:w="1440"/>
            <w:vAlign w:val="center"/>
          </w:tcPr>
          <w:p>
            <w:r>
              <w:rPr>
                <w:sz w:val="16"/>
              </w:rPr>
              <w:t>EfficientNet-B0</w:t>
            </w:r>
          </w:p>
        </w:tc>
        <w:tc>
          <w:tcPr>
            <w:tcW w:type="dxa" w:w="1440"/>
            <w:vAlign w:val="center"/>
          </w:tcPr>
          <w:p>
            <w:r>
              <w:rPr>
                <w:sz w:val="16"/>
              </w:rPr>
              <w:t>NIH internal</w:t>
            </w:r>
          </w:p>
        </w:tc>
        <w:tc>
          <w:tcPr>
            <w:tcW w:type="dxa" w:w="1440"/>
            <w:vAlign w:val="center"/>
          </w:tcPr>
          <w:p>
            <w:r>
              <w:rPr>
                <w:sz w:val="16"/>
              </w:rPr>
              <w:t>Atelectasis</w:t>
            </w:r>
          </w:p>
        </w:tc>
        <w:tc>
          <w:tcPr>
            <w:tcW w:type="dxa" w:w="1440"/>
            <w:vAlign w:val="center"/>
          </w:tcPr>
          <w:p>
            <w:r>
              <w:rPr>
                <w:sz w:val="16"/>
              </w:rPr>
              <w:t>0.120</w:t>
            </w:r>
          </w:p>
        </w:tc>
        <w:tc>
          <w:tcPr>
            <w:tcW w:type="dxa" w:w="1440"/>
            <w:vAlign w:val="center"/>
          </w:tcPr>
          <w:p>
            <w:r>
              <w:rPr>
                <w:sz w:val="16"/>
              </w:rPr>
              <w:t>0.660 (0.600-0.722)</w:t>
            </w:r>
          </w:p>
        </w:tc>
        <w:tc>
          <w:tcPr>
            <w:tcW w:type="dxa" w:w="1440"/>
            <w:vAlign w:val="center"/>
          </w:tcPr>
          <w:p>
            <w:r>
              <w:rPr>
                <w:sz w:val="16"/>
              </w:rPr>
              <w:t>0.225 (0.165-0.314)</w:t>
            </w:r>
          </w:p>
        </w:tc>
        <w:tc>
          <w:tcPr>
            <w:tcW w:type="dxa" w:w="1440"/>
            <w:vAlign w:val="center"/>
          </w:tcPr>
          <w:p>
            <w:r>
              <w:rPr>
                <w:sz w:val="16"/>
              </w:rPr>
              <w:t>0.254</w:t>
            </w:r>
          </w:p>
        </w:tc>
      </w:tr>
      <w:tr>
        <w:tc>
          <w:tcPr>
            <w:tcW w:type="dxa" w:w="1440"/>
            <w:vAlign w:val="center"/>
          </w:tcPr>
          <w:p>
            <w:r>
              <w:rPr>
                <w:sz w:val="16"/>
              </w:rPr>
              <w:t>EfficientNet-B0</w:t>
            </w:r>
          </w:p>
        </w:tc>
        <w:tc>
          <w:tcPr>
            <w:tcW w:type="dxa" w:w="1440"/>
            <w:vAlign w:val="center"/>
          </w:tcPr>
          <w:p>
            <w:r>
              <w:rPr>
                <w:sz w:val="16"/>
              </w:rPr>
              <w:t>NIH internal</w:t>
            </w:r>
          </w:p>
        </w:tc>
        <w:tc>
          <w:tcPr>
            <w:tcW w:type="dxa" w:w="1440"/>
            <w:vAlign w:val="center"/>
          </w:tcPr>
          <w:p>
            <w:r>
              <w:rPr>
                <w:sz w:val="16"/>
              </w:rPr>
              <w:t>Cardiomegaly</w:t>
            </w:r>
          </w:p>
        </w:tc>
        <w:tc>
          <w:tcPr>
            <w:tcW w:type="dxa" w:w="1440"/>
            <w:vAlign w:val="center"/>
          </w:tcPr>
          <w:p>
            <w:r>
              <w:rPr>
                <w:sz w:val="16"/>
              </w:rPr>
              <w:t>0.035</w:t>
            </w:r>
          </w:p>
        </w:tc>
        <w:tc>
          <w:tcPr>
            <w:tcW w:type="dxa" w:w="1440"/>
            <w:vAlign w:val="center"/>
          </w:tcPr>
          <w:p>
            <w:r>
              <w:rPr>
                <w:sz w:val="16"/>
              </w:rPr>
              <w:t>0.655 (0.539-0.771)</w:t>
            </w:r>
          </w:p>
        </w:tc>
        <w:tc>
          <w:tcPr>
            <w:tcW w:type="dxa" w:w="1440"/>
            <w:vAlign w:val="center"/>
          </w:tcPr>
          <w:p>
            <w:r>
              <w:rPr>
                <w:sz w:val="16"/>
              </w:rPr>
              <w:t>0.087 (0.041-0.208)</w:t>
            </w:r>
          </w:p>
        </w:tc>
        <w:tc>
          <w:tcPr>
            <w:tcW w:type="dxa" w:w="1440"/>
            <w:vAlign w:val="center"/>
          </w:tcPr>
          <w:p>
            <w:r>
              <w:rPr>
                <w:sz w:val="16"/>
              </w:rPr>
              <w:t>0.108</w:t>
            </w:r>
          </w:p>
        </w:tc>
      </w:tr>
      <w:tr>
        <w:tc>
          <w:tcPr>
            <w:tcW w:type="dxa" w:w="1440"/>
            <w:vAlign w:val="center"/>
          </w:tcPr>
          <w:p>
            <w:r>
              <w:rPr>
                <w:sz w:val="16"/>
              </w:rPr>
              <w:t>EfficientNet-B0</w:t>
            </w:r>
          </w:p>
        </w:tc>
        <w:tc>
          <w:tcPr>
            <w:tcW w:type="dxa" w:w="1440"/>
            <w:vAlign w:val="center"/>
          </w:tcPr>
          <w:p>
            <w:r>
              <w:rPr>
                <w:sz w:val="16"/>
              </w:rPr>
              <w:t>NIH internal</w:t>
            </w:r>
          </w:p>
        </w:tc>
        <w:tc>
          <w:tcPr>
            <w:tcW w:type="dxa" w:w="1440"/>
            <w:vAlign w:val="center"/>
          </w:tcPr>
          <w:p>
            <w:r>
              <w:rPr>
                <w:sz w:val="16"/>
              </w:rPr>
              <w:t>Pleural Effusion</w:t>
            </w:r>
          </w:p>
        </w:tc>
        <w:tc>
          <w:tcPr>
            <w:tcW w:type="dxa" w:w="1440"/>
            <w:vAlign w:val="center"/>
          </w:tcPr>
          <w:p>
            <w:r>
              <w:rPr>
                <w:sz w:val="16"/>
              </w:rPr>
              <w:t>0.147</w:t>
            </w:r>
          </w:p>
        </w:tc>
        <w:tc>
          <w:tcPr>
            <w:tcW w:type="dxa" w:w="1440"/>
            <w:vAlign w:val="center"/>
          </w:tcPr>
          <w:p>
            <w:r>
              <w:rPr>
                <w:sz w:val="16"/>
              </w:rPr>
              <w:t>0.737 (0.681-0.780)</w:t>
            </w:r>
          </w:p>
        </w:tc>
        <w:tc>
          <w:tcPr>
            <w:tcW w:type="dxa" w:w="1440"/>
            <w:vAlign w:val="center"/>
          </w:tcPr>
          <w:p>
            <w:r>
              <w:rPr>
                <w:sz w:val="16"/>
              </w:rPr>
              <w:t>0.356 (0.268-0.460)</w:t>
            </w:r>
          </w:p>
        </w:tc>
        <w:tc>
          <w:tcPr>
            <w:tcW w:type="dxa" w:w="1440"/>
            <w:vAlign w:val="center"/>
          </w:tcPr>
          <w:p>
            <w:r>
              <w:rPr>
                <w:sz w:val="16"/>
              </w:rPr>
              <w:t>0.376</w:t>
            </w:r>
          </w:p>
        </w:tc>
      </w:tr>
      <w:tr>
        <w:tc>
          <w:tcPr>
            <w:tcW w:type="dxa" w:w="1440"/>
            <w:vAlign w:val="center"/>
          </w:tcPr>
          <w:p>
            <w:r>
              <w:rPr>
                <w:sz w:val="16"/>
              </w:rPr>
              <w:t>EfficientNet-B0</w:t>
            </w:r>
          </w:p>
        </w:tc>
        <w:tc>
          <w:tcPr>
            <w:tcW w:type="dxa" w:w="1440"/>
            <w:vAlign w:val="center"/>
          </w:tcPr>
          <w:p>
            <w:r>
              <w:rPr>
                <w:sz w:val="16"/>
              </w:rPr>
              <w:t>NIH internal</w:t>
            </w:r>
          </w:p>
        </w:tc>
        <w:tc>
          <w:tcPr>
            <w:tcW w:type="dxa" w:w="1440"/>
            <w:vAlign w:val="center"/>
          </w:tcPr>
          <w:p>
            <w:r>
              <w:rPr>
                <w:sz w:val="16"/>
              </w:rPr>
              <w:t>Pneumothorax</w:t>
            </w:r>
          </w:p>
        </w:tc>
        <w:tc>
          <w:tcPr>
            <w:tcW w:type="dxa" w:w="1440"/>
            <w:vAlign w:val="center"/>
          </w:tcPr>
          <w:p>
            <w:r>
              <w:rPr>
                <w:sz w:val="16"/>
              </w:rPr>
              <w:t>0.057</w:t>
            </w:r>
          </w:p>
        </w:tc>
        <w:tc>
          <w:tcPr>
            <w:tcW w:type="dxa" w:w="1440"/>
            <w:vAlign w:val="center"/>
          </w:tcPr>
          <w:p>
            <w:r>
              <w:rPr>
                <w:sz w:val="16"/>
              </w:rPr>
              <w:t>0.692 (0.601-0.782)</w:t>
            </w:r>
          </w:p>
        </w:tc>
        <w:tc>
          <w:tcPr>
            <w:tcW w:type="dxa" w:w="1440"/>
            <w:vAlign w:val="center"/>
          </w:tcPr>
          <w:p>
            <w:r>
              <w:rPr>
                <w:sz w:val="16"/>
              </w:rPr>
              <w:t>0.190 (0.104-0.356)</w:t>
            </w:r>
          </w:p>
        </w:tc>
        <w:tc>
          <w:tcPr>
            <w:tcW w:type="dxa" w:w="1440"/>
            <w:vAlign w:val="center"/>
          </w:tcPr>
          <w:p>
            <w:r>
              <w:rPr>
                <w:sz w:val="16"/>
              </w:rPr>
              <w:t>0.187</w:t>
            </w:r>
          </w:p>
        </w:tc>
      </w:tr>
      <w:tr>
        <w:tc>
          <w:tcPr>
            <w:tcW w:type="dxa" w:w="1440"/>
            <w:vAlign w:val="center"/>
          </w:tcPr>
          <w:p>
            <w:r>
              <w:rPr>
                <w:sz w:val="16"/>
              </w:rPr>
              <w:t>EfficientNet-B0</w:t>
            </w:r>
          </w:p>
        </w:tc>
        <w:tc>
          <w:tcPr>
            <w:tcW w:type="dxa" w:w="1440"/>
            <w:vAlign w:val="center"/>
          </w:tcPr>
          <w:p>
            <w:r>
              <w:rPr>
                <w:sz w:val="16"/>
              </w:rPr>
              <w:t>NIH internal</w:t>
            </w:r>
          </w:p>
        </w:tc>
        <w:tc>
          <w:tcPr>
            <w:tcW w:type="dxa" w:w="1440"/>
            <w:vAlign w:val="center"/>
          </w:tcPr>
          <w:p>
            <w:r>
              <w:rPr>
                <w:sz w:val="16"/>
              </w:rPr>
              <w:t>Consolidation</w:t>
            </w:r>
          </w:p>
        </w:tc>
        <w:tc>
          <w:tcPr>
            <w:tcW w:type="dxa" w:w="1440"/>
            <w:vAlign w:val="center"/>
          </w:tcPr>
          <w:p>
            <w:r>
              <w:rPr>
                <w:sz w:val="16"/>
              </w:rPr>
              <w:t>0.055</w:t>
            </w:r>
          </w:p>
        </w:tc>
        <w:tc>
          <w:tcPr>
            <w:tcW w:type="dxa" w:w="1440"/>
            <w:vAlign w:val="center"/>
          </w:tcPr>
          <w:p>
            <w:r>
              <w:rPr>
                <w:sz w:val="16"/>
              </w:rPr>
              <w:t>0.592 (0.512-0.674)</w:t>
            </w:r>
          </w:p>
        </w:tc>
        <w:tc>
          <w:tcPr>
            <w:tcW w:type="dxa" w:w="1440"/>
            <w:vAlign w:val="center"/>
          </w:tcPr>
          <w:p>
            <w:r>
              <w:rPr>
                <w:sz w:val="16"/>
              </w:rPr>
              <w:t>0.072 (0.050-0.111)</w:t>
            </w:r>
          </w:p>
        </w:tc>
        <w:tc>
          <w:tcPr>
            <w:tcW w:type="dxa" w:w="1440"/>
            <w:vAlign w:val="center"/>
          </w:tcPr>
          <w:p>
            <w:r>
              <w:rPr>
                <w:sz w:val="16"/>
              </w:rPr>
              <w:t>0.123</w:t>
            </w:r>
          </w:p>
        </w:tc>
      </w:tr>
      <w:tr>
        <w:tc>
          <w:tcPr>
            <w:tcW w:type="dxa" w:w="1440"/>
            <w:vAlign w:val="center"/>
          </w:tcPr>
          <w:p>
            <w:r>
              <w:rPr>
                <w:sz w:val="16"/>
              </w:rPr>
              <w:t>EfficientNet-B0</w:t>
            </w:r>
          </w:p>
        </w:tc>
        <w:tc>
          <w:tcPr>
            <w:tcW w:type="dxa" w:w="1440"/>
            <w:vAlign w:val="center"/>
          </w:tcPr>
          <w:p>
            <w:r>
              <w:rPr>
                <w:sz w:val="16"/>
              </w:rPr>
              <w:t>NIH internal</w:t>
            </w:r>
          </w:p>
        </w:tc>
        <w:tc>
          <w:tcPr>
            <w:tcW w:type="dxa" w:w="1440"/>
            <w:vAlign w:val="center"/>
          </w:tcPr>
          <w:p>
            <w:r>
              <w:rPr>
                <w:sz w:val="16"/>
              </w:rPr>
              <w:t>Edema</w:t>
            </w:r>
          </w:p>
        </w:tc>
        <w:tc>
          <w:tcPr>
            <w:tcW w:type="dxa" w:w="1440"/>
            <w:vAlign w:val="center"/>
          </w:tcPr>
          <w:p>
            <w:r>
              <w:rPr>
                <w:sz w:val="16"/>
              </w:rPr>
              <w:t>0.020</w:t>
            </w:r>
          </w:p>
        </w:tc>
        <w:tc>
          <w:tcPr>
            <w:tcW w:type="dxa" w:w="1440"/>
            <w:vAlign w:val="center"/>
          </w:tcPr>
          <w:p>
            <w:r>
              <w:rPr>
                <w:sz w:val="16"/>
              </w:rPr>
              <w:t>0.740 (0.604-0.863)</w:t>
            </w:r>
          </w:p>
        </w:tc>
        <w:tc>
          <w:tcPr>
            <w:tcW w:type="dxa" w:w="1440"/>
            <w:vAlign w:val="center"/>
          </w:tcPr>
          <w:p>
            <w:r>
              <w:rPr>
                <w:sz w:val="16"/>
              </w:rPr>
              <w:t>0.085 (0.030-0.219)</w:t>
            </w:r>
          </w:p>
        </w:tc>
        <w:tc>
          <w:tcPr>
            <w:tcW w:type="dxa" w:w="1440"/>
            <w:vAlign w:val="center"/>
          </w:tcPr>
          <w:p>
            <w:r>
              <w:rPr>
                <w:sz w:val="16"/>
              </w:rPr>
              <w:t>0.118</w:t>
            </w:r>
          </w:p>
        </w:tc>
      </w:tr>
      <w:tr>
        <w:tc>
          <w:tcPr>
            <w:tcW w:type="dxa" w:w="1440"/>
            <w:vAlign w:val="center"/>
          </w:tcPr>
          <w:p>
            <w:r>
              <w:rPr>
                <w:sz w:val="16"/>
              </w:rPr>
              <w:t>EfficientNet-B0</w:t>
            </w:r>
          </w:p>
        </w:tc>
        <w:tc>
          <w:tcPr>
            <w:tcW w:type="dxa" w:w="1440"/>
            <w:vAlign w:val="center"/>
          </w:tcPr>
          <w:p>
            <w:r>
              <w:rPr>
                <w:sz w:val="16"/>
              </w:rPr>
              <w:t>NIH internal</w:t>
            </w:r>
          </w:p>
        </w:tc>
        <w:tc>
          <w:tcPr>
            <w:tcW w:type="dxa" w:w="1440"/>
            <w:vAlign w:val="center"/>
          </w:tcPr>
          <w:p>
            <w:r>
              <w:rPr>
                <w:sz w:val="16"/>
              </w:rPr>
              <w:t>Pneumonia</w:t>
            </w:r>
          </w:p>
        </w:tc>
        <w:tc>
          <w:tcPr>
            <w:tcW w:type="dxa" w:w="1440"/>
            <w:vAlign w:val="center"/>
          </w:tcPr>
          <w:p>
            <w:r>
              <w:rPr>
                <w:sz w:val="16"/>
              </w:rPr>
              <w:t>0.023</w:t>
            </w:r>
          </w:p>
        </w:tc>
        <w:tc>
          <w:tcPr>
            <w:tcW w:type="dxa" w:w="1440"/>
            <w:vAlign w:val="center"/>
          </w:tcPr>
          <w:p>
            <w:r>
              <w:rPr>
                <w:sz w:val="16"/>
              </w:rPr>
              <w:t>0.468 (0.313-0.637)</w:t>
            </w:r>
          </w:p>
        </w:tc>
        <w:tc>
          <w:tcPr>
            <w:tcW w:type="dxa" w:w="1440"/>
            <w:vAlign w:val="center"/>
          </w:tcPr>
          <w:p>
            <w:r>
              <w:rPr>
                <w:sz w:val="16"/>
              </w:rPr>
              <w:t>0.030 (0.015-0.066)</w:t>
            </w:r>
          </w:p>
        </w:tc>
        <w:tc>
          <w:tcPr>
            <w:tcW w:type="dxa" w:w="1440"/>
            <w:vAlign w:val="center"/>
          </w:tcPr>
          <w:p>
            <w:r>
              <w:rPr>
                <w:sz w:val="16"/>
              </w:rPr>
              <w:t>0.000</w:t>
            </w:r>
          </w:p>
        </w:tc>
      </w:tr>
      <w:tr>
        <w:tc>
          <w:tcPr>
            <w:tcW w:type="dxa" w:w="1440"/>
            <w:vAlign w:val="center"/>
          </w:tcPr>
          <w:p>
            <w:r>
              <w:rPr>
                <w:sz w:val="16"/>
              </w:rPr>
              <w:t>EfficientNet-B0</w:t>
            </w:r>
          </w:p>
        </w:tc>
        <w:tc>
          <w:tcPr>
            <w:tcW w:type="dxa" w:w="1440"/>
            <w:vAlign w:val="center"/>
          </w:tcPr>
          <w:p>
            <w:r>
              <w:rPr>
                <w:sz w:val="16"/>
              </w:rPr>
              <w:t>NIH internal</w:t>
            </w:r>
          </w:p>
        </w:tc>
        <w:tc>
          <w:tcPr>
            <w:tcW w:type="dxa" w:w="1440"/>
            <w:vAlign w:val="center"/>
          </w:tcPr>
          <w:p>
            <w:r>
              <w:rPr>
                <w:sz w:val="16"/>
              </w:rPr>
              <w:t>No Finding</w:t>
            </w:r>
          </w:p>
        </w:tc>
        <w:tc>
          <w:tcPr>
            <w:tcW w:type="dxa" w:w="1440"/>
            <w:vAlign w:val="center"/>
          </w:tcPr>
          <w:p>
            <w:r>
              <w:rPr>
                <w:sz w:val="16"/>
              </w:rPr>
              <w:t>0.507</w:t>
            </w:r>
          </w:p>
        </w:tc>
        <w:tc>
          <w:tcPr>
            <w:tcW w:type="dxa" w:w="1440"/>
            <w:vAlign w:val="center"/>
          </w:tcPr>
          <w:p>
            <w:r>
              <w:rPr>
                <w:sz w:val="16"/>
              </w:rPr>
              <w:t>0.706 (0.664-0.749)</w:t>
            </w:r>
          </w:p>
        </w:tc>
        <w:tc>
          <w:tcPr>
            <w:tcW w:type="dxa" w:w="1440"/>
            <w:vAlign w:val="center"/>
          </w:tcPr>
          <w:p>
            <w:r>
              <w:rPr>
                <w:sz w:val="16"/>
              </w:rPr>
              <w:t>0.696 (0.635-0.753)</w:t>
            </w:r>
          </w:p>
        </w:tc>
        <w:tc>
          <w:tcPr>
            <w:tcW w:type="dxa" w:w="1440"/>
            <w:vAlign w:val="center"/>
          </w:tcPr>
          <w:p>
            <w:r>
              <w:rPr>
                <w:sz w:val="16"/>
              </w:rPr>
              <w:t>0.694</w:t>
            </w:r>
          </w:p>
        </w:tc>
      </w:tr>
      <w:tr>
        <w:tc>
          <w:tcPr>
            <w:tcW w:type="dxa" w:w="1440"/>
            <w:vAlign w:val="center"/>
          </w:tcPr>
          <w:p>
            <w:r>
              <w:rPr>
                <w:sz w:val="16"/>
              </w:rPr>
              <w:t>EfficientNet-B0</w:t>
            </w:r>
          </w:p>
        </w:tc>
        <w:tc>
          <w:tcPr>
            <w:tcW w:type="dxa" w:w="1440"/>
            <w:vAlign w:val="center"/>
          </w:tcPr>
          <w:p>
            <w:r>
              <w:rPr>
                <w:sz w:val="16"/>
              </w:rPr>
              <w:t>VinDr external</w:t>
            </w:r>
          </w:p>
        </w:tc>
        <w:tc>
          <w:tcPr>
            <w:tcW w:type="dxa" w:w="1440"/>
            <w:vAlign w:val="center"/>
          </w:tcPr>
          <w:p>
            <w:r>
              <w:rPr>
                <w:sz w:val="16"/>
              </w:rPr>
              <w:t>Atelectasis</w:t>
            </w:r>
          </w:p>
        </w:tc>
        <w:tc>
          <w:tcPr>
            <w:tcW w:type="dxa" w:w="1440"/>
            <w:vAlign w:val="center"/>
          </w:tcPr>
          <w:p>
            <w:r>
              <w:rPr>
                <w:sz w:val="16"/>
              </w:rPr>
              <w:t>0.131</w:t>
            </w:r>
          </w:p>
        </w:tc>
        <w:tc>
          <w:tcPr>
            <w:tcW w:type="dxa" w:w="1440"/>
            <w:vAlign w:val="center"/>
          </w:tcPr>
          <w:p>
            <w:r>
              <w:rPr>
                <w:sz w:val="16"/>
              </w:rPr>
              <w:t>0.612 (0.566-0.657)</w:t>
            </w:r>
          </w:p>
        </w:tc>
        <w:tc>
          <w:tcPr>
            <w:tcW w:type="dxa" w:w="1440"/>
            <w:vAlign w:val="center"/>
          </w:tcPr>
          <w:p>
            <w:r>
              <w:rPr>
                <w:sz w:val="16"/>
              </w:rPr>
              <w:t>0.175 (0.145-0.220)</w:t>
            </w:r>
          </w:p>
        </w:tc>
        <w:tc>
          <w:tcPr>
            <w:tcW w:type="dxa" w:w="1440"/>
            <w:vAlign w:val="center"/>
          </w:tcPr>
          <w:p>
            <w:r>
              <w:rPr>
                <w:sz w:val="16"/>
              </w:rPr>
              <w:t>0.121</w:t>
            </w:r>
          </w:p>
        </w:tc>
      </w:tr>
      <w:tr>
        <w:tc>
          <w:tcPr>
            <w:tcW w:type="dxa" w:w="1440"/>
            <w:vAlign w:val="center"/>
          </w:tcPr>
          <w:p>
            <w:r>
              <w:rPr>
                <w:sz w:val="16"/>
              </w:rPr>
              <w:t>EfficientNet-B0</w:t>
            </w:r>
          </w:p>
        </w:tc>
        <w:tc>
          <w:tcPr>
            <w:tcW w:type="dxa" w:w="1440"/>
            <w:vAlign w:val="center"/>
          </w:tcPr>
          <w:p>
            <w:r>
              <w:rPr>
                <w:sz w:val="16"/>
              </w:rPr>
              <w:t>VinDr external</w:t>
            </w:r>
          </w:p>
        </w:tc>
        <w:tc>
          <w:tcPr>
            <w:tcW w:type="dxa" w:w="1440"/>
            <w:vAlign w:val="center"/>
          </w:tcPr>
          <w:p>
            <w:r>
              <w:rPr>
                <w:sz w:val="16"/>
              </w:rPr>
              <w:t>Cardiomegaly</w:t>
            </w:r>
          </w:p>
        </w:tc>
        <w:tc>
          <w:tcPr>
            <w:tcW w:type="dxa" w:w="1440"/>
            <w:vAlign w:val="center"/>
          </w:tcPr>
          <w:p>
            <w:r>
              <w:rPr>
                <w:sz w:val="16"/>
              </w:rPr>
              <w:t>0.276</w:t>
            </w:r>
          </w:p>
        </w:tc>
        <w:tc>
          <w:tcPr>
            <w:tcW w:type="dxa" w:w="1440"/>
            <w:vAlign w:val="center"/>
          </w:tcPr>
          <w:p>
            <w:r>
              <w:rPr>
                <w:sz w:val="16"/>
              </w:rPr>
              <w:t>0.585 (0.548-0.620)</w:t>
            </w:r>
          </w:p>
        </w:tc>
        <w:tc>
          <w:tcPr>
            <w:tcW w:type="dxa" w:w="1440"/>
            <w:vAlign w:val="center"/>
          </w:tcPr>
          <w:p>
            <w:r>
              <w:rPr>
                <w:sz w:val="16"/>
              </w:rPr>
              <w:t>0.353 (0.312-0.408)</w:t>
            </w:r>
          </w:p>
        </w:tc>
        <w:tc>
          <w:tcPr>
            <w:tcW w:type="dxa" w:w="1440"/>
            <w:vAlign w:val="center"/>
          </w:tcPr>
          <w:p>
            <w:r>
              <w:rPr>
                <w:sz w:val="16"/>
              </w:rPr>
              <w:t>0.102</w:t>
            </w:r>
          </w:p>
        </w:tc>
      </w:tr>
      <w:tr>
        <w:tc>
          <w:tcPr>
            <w:tcW w:type="dxa" w:w="1440"/>
            <w:vAlign w:val="center"/>
          </w:tcPr>
          <w:p>
            <w:r>
              <w:rPr>
                <w:sz w:val="16"/>
              </w:rPr>
              <w:t>EfficientNet-B0</w:t>
            </w:r>
          </w:p>
        </w:tc>
        <w:tc>
          <w:tcPr>
            <w:tcW w:type="dxa" w:w="1440"/>
            <w:vAlign w:val="center"/>
          </w:tcPr>
          <w:p>
            <w:r>
              <w:rPr>
                <w:sz w:val="16"/>
              </w:rPr>
              <w:t>VinDr external</w:t>
            </w:r>
          </w:p>
        </w:tc>
        <w:tc>
          <w:tcPr>
            <w:tcW w:type="dxa" w:w="1440"/>
            <w:vAlign w:val="center"/>
          </w:tcPr>
          <w:p>
            <w:r>
              <w:rPr>
                <w:sz w:val="16"/>
              </w:rPr>
              <w:t>Pleural Effusion</w:t>
            </w:r>
          </w:p>
        </w:tc>
        <w:tc>
          <w:tcPr>
            <w:tcW w:type="dxa" w:w="1440"/>
            <w:vAlign w:val="center"/>
          </w:tcPr>
          <w:p>
            <w:r>
              <w:rPr>
                <w:sz w:val="16"/>
              </w:rPr>
              <w:t>0.288</w:t>
            </w:r>
          </w:p>
        </w:tc>
        <w:tc>
          <w:tcPr>
            <w:tcW w:type="dxa" w:w="1440"/>
            <w:vAlign w:val="center"/>
          </w:tcPr>
          <w:p>
            <w:r>
              <w:rPr>
                <w:sz w:val="16"/>
              </w:rPr>
              <w:t>0.779 (0.745-0.808)</w:t>
            </w:r>
          </w:p>
        </w:tc>
        <w:tc>
          <w:tcPr>
            <w:tcW w:type="dxa" w:w="1440"/>
            <w:vAlign w:val="center"/>
          </w:tcPr>
          <w:p>
            <w:r>
              <w:rPr>
                <w:sz w:val="16"/>
              </w:rPr>
              <w:t>0.651 (0.597-0.703)</w:t>
            </w:r>
          </w:p>
        </w:tc>
        <w:tc>
          <w:tcPr>
            <w:tcW w:type="dxa" w:w="1440"/>
            <w:vAlign w:val="center"/>
          </w:tcPr>
          <w:p>
            <w:r>
              <w:rPr>
                <w:sz w:val="16"/>
              </w:rPr>
              <w:t>0.589</w:t>
            </w:r>
          </w:p>
        </w:tc>
      </w:tr>
      <w:tr>
        <w:tc>
          <w:tcPr>
            <w:tcW w:type="dxa" w:w="1440"/>
            <w:vAlign w:val="center"/>
          </w:tcPr>
          <w:p>
            <w:r>
              <w:rPr>
                <w:sz w:val="16"/>
              </w:rPr>
              <w:t>EfficientNet-B0</w:t>
            </w:r>
          </w:p>
        </w:tc>
        <w:tc>
          <w:tcPr>
            <w:tcW w:type="dxa" w:w="1440"/>
            <w:vAlign w:val="center"/>
          </w:tcPr>
          <w:p>
            <w:r>
              <w:rPr>
                <w:sz w:val="16"/>
              </w:rPr>
              <w:t>VinDr external</w:t>
            </w:r>
          </w:p>
        </w:tc>
        <w:tc>
          <w:tcPr>
            <w:tcW w:type="dxa" w:w="1440"/>
            <w:vAlign w:val="center"/>
          </w:tcPr>
          <w:p>
            <w:r>
              <w:rPr>
                <w:sz w:val="16"/>
              </w:rPr>
              <w:t>Pneumothorax</w:t>
            </w:r>
          </w:p>
        </w:tc>
        <w:tc>
          <w:tcPr>
            <w:tcW w:type="dxa" w:w="1440"/>
            <w:vAlign w:val="center"/>
          </w:tcPr>
          <w:p>
            <w:r>
              <w:rPr>
                <w:sz w:val="16"/>
              </w:rPr>
              <w:t>0.059</w:t>
            </w:r>
          </w:p>
        </w:tc>
        <w:tc>
          <w:tcPr>
            <w:tcW w:type="dxa" w:w="1440"/>
            <w:vAlign w:val="center"/>
          </w:tcPr>
          <w:p>
            <w:r>
              <w:rPr>
                <w:sz w:val="16"/>
              </w:rPr>
              <w:t>0.603 (0.533-0.663)</w:t>
            </w:r>
          </w:p>
        </w:tc>
        <w:tc>
          <w:tcPr>
            <w:tcW w:type="dxa" w:w="1440"/>
            <w:vAlign w:val="center"/>
          </w:tcPr>
          <w:p>
            <w:r>
              <w:rPr>
                <w:sz w:val="16"/>
              </w:rPr>
              <w:t>0.091 (0.063-0.148)</w:t>
            </w:r>
          </w:p>
        </w:tc>
        <w:tc>
          <w:tcPr>
            <w:tcW w:type="dxa" w:w="1440"/>
            <w:vAlign w:val="center"/>
          </w:tcPr>
          <w:p>
            <w:r>
              <w:rPr>
                <w:sz w:val="16"/>
              </w:rPr>
              <w:t>0.139</w:t>
            </w:r>
          </w:p>
        </w:tc>
      </w:tr>
      <w:tr>
        <w:tc>
          <w:tcPr>
            <w:tcW w:type="dxa" w:w="1440"/>
            <w:vAlign w:val="center"/>
          </w:tcPr>
          <w:p>
            <w:r>
              <w:rPr>
                <w:sz w:val="16"/>
              </w:rPr>
              <w:t>EfficientNet-B0</w:t>
            </w:r>
          </w:p>
        </w:tc>
        <w:tc>
          <w:tcPr>
            <w:tcW w:type="dxa" w:w="1440"/>
            <w:vAlign w:val="center"/>
          </w:tcPr>
          <w:p>
            <w:r>
              <w:rPr>
                <w:sz w:val="16"/>
              </w:rPr>
              <w:t>VinDr external</w:t>
            </w:r>
          </w:p>
        </w:tc>
        <w:tc>
          <w:tcPr>
            <w:tcW w:type="dxa" w:w="1440"/>
            <w:vAlign w:val="center"/>
          </w:tcPr>
          <w:p>
            <w:r>
              <w:rPr>
                <w:sz w:val="16"/>
              </w:rPr>
              <w:t>Consolidation</w:t>
            </w:r>
          </w:p>
        </w:tc>
        <w:tc>
          <w:tcPr>
            <w:tcW w:type="dxa" w:w="1440"/>
            <w:vAlign w:val="center"/>
          </w:tcPr>
          <w:p>
            <w:r>
              <w:rPr>
                <w:sz w:val="16"/>
              </w:rPr>
              <w:t>0.175</w:t>
            </w:r>
          </w:p>
        </w:tc>
        <w:tc>
          <w:tcPr>
            <w:tcW w:type="dxa" w:w="1440"/>
            <w:vAlign w:val="center"/>
          </w:tcPr>
          <w:p>
            <w:r>
              <w:rPr>
                <w:sz w:val="16"/>
              </w:rPr>
              <w:t>0.594 (0.551-0.640)</w:t>
            </w:r>
          </w:p>
        </w:tc>
        <w:tc>
          <w:tcPr>
            <w:tcW w:type="dxa" w:w="1440"/>
            <w:vAlign w:val="center"/>
          </w:tcPr>
          <w:p>
            <w:r>
              <w:rPr>
                <w:sz w:val="16"/>
              </w:rPr>
              <w:t>0.245 (0.203-0.308)</w:t>
            </w:r>
          </w:p>
        </w:tc>
        <w:tc>
          <w:tcPr>
            <w:tcW w:type="dxa" w:w="1440"/>
            <w:vAlign w:val="center"/>
          </w:tcPr>
          <w:p>
            <w:r>
              <w:rPr>
                <w:sz w:val="16"/>
              </w:rPr>
              <w:t>0.065</w:t>
            </w:r>
          </w:p>
        </w:tc>
      </w:tr>
      <w:tr>
        <w:tc>
          <w:tcPr>
            <w:tcW w:type="dxa" w:w="1440"/>
            <w:vAlign w:val="center"/>
          </w:tcPr>
          <w:p>
            <w:r>
              <w:rPr>
                <w:sz w:val="16"/>
              </w:rPr>
              <w:t>EfficientNet-B0</w:t>
            </w:r>
          </w:p>
        </w:tc>
        <w:tc>
          <w:tcPr>
            <w:tcW w:type="dxa" w:w="1440"/>
            <w:vAlign w:val="center"/>
          </w:tcPr>
          <w:p>
            <w:r>
              <w:rPr>
                <w:sz w:val="16"/>
              </w:rPr>
              <w:t>VinDr external</w:t>
            </w:r>
          </w:p>
        </w:tc>
        <w:tc>
          <w:tcPr>
            <w:tcW w:type="dxa" w:w="1440"/>
            <w:vAlign w:val="center"/>
          </w:tcPr>
          <w:p>
            <w:r>
              <w:rPr>
                <w:sz w:val="16"/>
              </w:rPr>
              <w:t>Edema</w:t>
            </w:r>
          </w:p>
        </w:tc>
        <w:tc>
          <w:tcPr>
            <w:tcW w:type="dxa" w:w="1440"/>
            <w:vAlign w:val="center"/>
          </w:tcPr>
          <w:p>
            <w:r>
              <w:rPr>
                <w:sz w:val="16"/>
              </w:rPr>
              <w:t>0.000</w:t>
            </w:r>
          </w:p>
        </w:tc>
        <w:tc>
          <w:tcPr>
            <w:tcW w:type="dxa" w:w="1440"/>
            <w:vAlign w:val="center"/>
          </w:tcPr>
          <w:p>
            <w:r>
              <w:rPr>
                <w:sz w:val="16"/>
              </w:rPr>
              <w:t>NA (NA-NA)</w:t>
            </w:r>
          </w:p>
        </w:tc>
        <w:tc>
          <w:tcPr>
            <w:tcW w:type="dxa" w:w="1440"/>
            <w:vAlign w:val="center"/>
          </w:tcPr>
          <w:p>
            <w:r>
              <w:rPr>
                <w:sz w:val="16"/>
              </w:rPr>
              <w:t>NA (NA-NA)</w:t>
            </w:r>
          </w:p>
        </w:tc>
        <w:tc>
          <w:tcPr>
            <w:tcW w:type="dxa" w:w="1440"/>
            <w:vAlign w:val="center"/>
          </w:tcPr>
          <w:p>
            <w:r>
              <w:rPr>
                <w:sz w:val="16"/>
              </w:rPr>
              <w:t>NA</w:t>
            </w:r>
          </w:p>
        </w:tc>
      </w:tr>
      <w:tr>
        <w:tc>
          <w:tcPr>
            <w:tcW w:type="dxa" w:w="1440"/>
            <w:vAlign w:val="center"/>
          </w:tcPr>
          <w:p>
            <w:r>
              <w:rPr>
                <w:sz w:val="16"/>
              </w:rPr>
              <w:t>EfficientNet-B0</w:t>
            </w:r>
          </w:p>
        </w:tc>
        <w:tc>
          <w:tcPr>
            <w:tcW w:type="dxa" w:w="1440"/>
            <w:vAlign w:val="center"/>
          </w:tcPr>
          <w:p>
            <w:r>
              <w:rPr>
                <w:sz w:val="16"/>
              </w:rPr>
              <w:t>VinDr external</w:t>
            </w:r>
          </w:p>
        </w:tc>
        <w:tc>
          <w:tcPr>
            <w:tcW w:type="dxa" w:w="1440"/>
            <w:vAlign w:val="center"/>
          </w:tcPr>
          <w:p>
            <w:r>
              <w:rPr>
                <w:sz w:val="16"/>
              </w:rPr>
              <w:t>Pneumonia</w:t>
            </w:r>
          </w:p>
        </w:tc>
        <w:tc>
          <w:tcPr>
            <w:tcW w:type="dxa" w:w="1440"/>
            <w:vAlign w:val="center"/>
          </w:tcPr>
          <w:p>
            <w:r>
              <w:rPr>
                <w:sz w:val="16"/>
              </w:rPr>
              <w:t>0.000</w:t>
            </w:r>
          </w:p>
        </w:tc>
        <w:tc>
          <w:tcPr>
            <w:tcW w:type="dxa" w:w="1440"/>
            <w:vAlign w:val="center"/>
          </w:tcPr>
          <w:p>
            <w:r>
              <w:rPr>
                <w:sz w:val="16"/>
              </w:rPr>
              <w:t>NA (NA-NA)</w:t>
            </w:r>
          </w:p>
        </w:tc>
        <w:tc>
          <w:tcPr>
            <w:tcW w:type="dxa" w:w="1440"/>
            <w:vAlign w:val="center"/>
          </w:tcPr>
          <w:p>
            <w:r>
              <w:rPr>
                <w:sz w:val="16"/>
              </w:rPr>
              <w:t>NA (NA-NA)</w:t>
            </w:r>
          </w:p>
        </w:tc>
        <w:tc>
          <w:tcPr>
            <w:tcW w:type="dxa" w:w="1440"/>
            <w:vAlign w:val="center"/>
          </w:tcPr>
          <w:p>
            <w:r>
              <w:rPr>
                <w:sz w:val="16"/>
              </w:rPr>
              <w:t>NA</w:t>
            </w:r>
          </w:p>
        </w:tc>
      </w:tr>
      <w:tr>
        <w:tc>
          <w:tcPr>
            <w:tcW w:type="dxa" w:w="1440"/>
            <w:vAlign w:val="center"/>
          </w:tcPr>
          <w:p>
            <w:r>
              <w:rPr>
                <w:sz w:val="16"/>
              </w:rPr>
              <w:t>EfficientNet-B0</w:t>
            </w:r>
          </w:p>
        </w:tc>
        <w:tc>
          <w:tcPr>
            <w:tcW w:type="dxa" w:w="1440"/>
            <w:vAlign w:val="center"/>
          </w:tcPr>
          <w:p>
            <w:r>
              <w:rPr>
                <w:sz w:val="16"/>
              </w:rPr>
              <w:t>VinDr external</w:t>
            </w:r>
          </w:p>
        </w:tc>
        <w:tc>
          <w:tcPr>
            <w:tcW w:type="dxa" w:w="1440"/>
            <w:vAlign w:val="center"/>
          </w:tcPr>
          <w:p>
            <w:r>
              <w:rPr>
                <w:sz w:val="16"/>
              </w:rPr>
              <w:t>No Finding</w:t>
            </w:r>
          </w:p>
        </w:tc>
        <w:tc>
          <w:tcPr>
            <w:tcW w:type="dxa" w:w="1440"/>
            <w:vAlign w:val="center"/>
          </w:tcPr>
          <w:p>
            <w:r>
              <w:rPr>
                <w:sz w:val="16"/>
              </w:rPr>
              <w:t>0.414</w:t>
            </w:r>
          </w:p>
        </w:tc>
        <w:tc>
          <w:tcPr>
            <w:tcW w:type="dxa" w:w="1440"/>
            <w:vAlign w:val="center"/>
          </w:tcPr>
          <w:p>
            <w:r>
              <w:rPr>
                <w:sz w:val="16"/>
              </w:rPr>
              <w:t>0.766 (0.737-0.794)</w:t>
            </w:r>
          </w:p>
        </w:tc>
        <w:tc>
          <w:tcPr>
            <w:tcW w:type="dxa" w:w="1440"/>
            <w:vAlign w:val="center"/>
          </w:tcPr>
          <w:p>
            <w:r>
              <w:rPr>
                <w:sz w:val="16"/>
              </w:rPr>
              <w:t>0.707 (0.666-0.751)</w:t>
            </w:r>
          </w:p>
        </w:tc>
        <w:tc>
          <w:tcPr>
            <w:tcW w:type="dxa" w:w="1440"/>
            <w:vAlign w:val="center"/>
          </w:tcPr>
          <w:p>
            <w:r>
              <w:rPr>
                <w:sz w:val="16"/>
              </w:rPr>
              <w:t>0.652</w:t>
            </w:r>
          </w:p>
        </w:tc>
      </w:tr>
    </w:tbl>
    <w:p>
      <w:pPr>
        <w:pStyle w:val="Heading2"/>
      </w:pPr>
      <w:r>
        <w:t>Table 3a. Macro-level Model Comparison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D9EAF7"/>
          </w:tcPr>
          <w:p>
            <w:r>
              <w:rPr>
                <w:b/>
                <w:sz w:val="16"/>
              </w:rPr>
              <w:t>model</w:t>
            </w:r>
          </w:p>
        </w:tc>
        <w:tc>
          <w:tcPr>
            <w:tcW w:type="dxa" w:w="1440"/>
            <w:vAlign w:val="center"/>
            <w:shd w:fill="D9EAF7"/>
          </w:tcPr>
          <w:p>
            <w:r>
              <w:rPr>
                <w:b/>
                <w:sz w:val="16"/>
              </w:rPr>
              <w:t>internal AUROC</w:t>
            </w:r>
          </w:p>
        </w:tc>
        <w:tc>
          <w:tcPr>
            <w:tcW w:type="dxa" w:w="1440"/>
            <w:vAlign w:val="center"/>
            <w:shd w:fill="D9EAF7"/>
          </w:tcPr>
          <w:p>
            <w:r>
              <w:rPr>
                <w:b/>
                <w:sz w:val="16"/>
              </w:rPr>
              <w:t>internal AUPRC</w:t>
            </w:r>
          </w:p>
        </w:tc>
        <w:tc>
          <w:tcPr>
            <w:tcW w:type="dxa" w:w="1440"/>
            <w:vAlign w:val="center"/>
            <w:shd w:fill="D9EAF7"/>
          </w:tcPr>
          <w:p>
            <w:r>
              <w:rPr>
                <w:b/>
                <w:sz w:val="16"/>
              </w:rPr>
              <w:t>external AUROC</w:t>
            </w:r>
          </w:p>
        </w:tc>
        <w:tc>
          <w:tcPr>
            <w:tcW w:type="dxa" w:w="1440"/>
            <w:vAlign w:val="center"/>
            <w:shd w:fill="D9EAF7"/>
          </w:tcPr>
          <w:p>
            <w:r>
              <w:rPr>
                <w:b/>
                <w:sz w:val="16"/>
              </w:rPr>
              <w:t>external AUPRC</w:t>
            </w:r>
          </w:p>
        </w:tc>
        <w:tc>
          <w:tcPr>
            <w:tcW w:type="dxa" w:w="1440"/>
            <w:vAlign w:val="center"/>
            <w:shd w:fill="D9EAF7"/>
          </w:tcPr>
          <w:p>
            <w:r>
              <w:rPr>
                <w:b/>
                <w:sz w:val="16"/>
              </w:rPr>
              <w:t>AUROC drop</w:t>
            </w:r>
          </w:p>
        </w:tc>
        <w:tc>
          <w:tcPr>
            <w:tcW w:type="dxa" w:w="1440"/>
            <w:vAlign w:val="center"/>
            <w:shd w:fill="D9EAF7"/>
          </w:tcPr>
          <w:p>
            <w:r>
              <w:rPr>
                <w:b/>
                <w:sz w:val="16"/>
              </w:rPr>
              <w:t>AUPRC drop</w:t>
            </w:r>
          </w:p>
        </w:tc>
      </w:tr>
      <w:tr>
        <w:tc>
          <w:tcPr>
            <w:tcW w:type="dxa" w:w="1440"/>
            <w:vAlign w:val="center"/>
          </w:tcPr>
          <w:p>
            <w:r>
              <w:rPr>
                <w:sz w:val="16"/>
              </w:rPr>
              <w:t>DenseNet121</w:t>
            </w:r>
          </w:p>
        </w:tc>
        <w:tc>
          <w:tcPr>
            <w:tcW w:type="dxa" w:w="1440"/>
            <w:vAlign w:val="center"/>
          </w:tcPr>
          <w:p>
            <w:r>
              <w:rPr>
                <w:sz w:val="16"/>
              </w:rPr>
              <w:t>0.680</w:t>
            </w:r>
          </w:p>
        </w:tc>
        <w:tc>
          <w:tcPr>
            <w:tcW w:type="dxa" w:w="1440"/>
            <w:vAlign w:val="center"/>
          </w:tcPr>
          <w:p>
            <w:r>
              <w:rPr>
                <w:sz w:val="16"/>
              </w:rPr>
              <w:t>0.214</w:t>
            </w:r>
          </w:p>
        </w:tc>
        <w:tc>
          <w:tcPr>
            <w:tcW w:type="dxa" w:w="1440"/>
            <w:vAlign w:val="center"/>
          </w:tcPr>
          <w:p>
            <w:r>
              <w:rPr>
                <w:sz w:val="16"/>
              </w:rPr>
              <w:t>0.743</w:t>
            </w:r>
          </w:p>
        </w:tc>
        <w:tc>
          <w:tcPr>
            <w:tcW w:type="dxa" w:w="1440"/>
            <w:vAlign w:val="center"/>
          </w:tcPr>
          <w:p>
            <w:r>
              <w:rPr>
                <w:sz w:val="16"/>
              </w:rPr>
              <w:t>0.434</w:t>
            </w:r>
          </w:p>
        </w:tc>
        <w:tc>
          <w:tcPr>
            <w:tcW w:type="dxa" w:w="1440"/>
            <w:vAlign w:val="center"/>
          </w:tcPr>
          <w:p>
            <w:r>
              <w:rPr>
                <w:sz w:val="16"/>
              </w:rPr>
              <w:t>-0.062</w:t>
            </w:r>
          </w:p>
        </w:tc>
        <w:tc>
          <w:tcPr>
            <w:tcW w:type="dxa" w:w="1440"/>
            <w:vAlign w:val="center"/>
          </w:tcPr>
          <w:p>
            <w:r>
              <w:rPr>
                <w:sz w:val="16"/>
              </w:rPr>
              <w:t>-0.221</w:t>
            </w:r>
          </w:p>
        </w:tc>
      </w:tr>
      <w:tr>
        <w:tc>
          <w:tcPr>
            <w:tcW w:type="dxa" w:w="1440"/>
            <w:vAlign w:val="center"/>
          </w:tcPr>
          <w:p>
            <w:r>
              <w:rPr>
                <w:sz w:val="16"/>
              </w:rPr>
              <w:t>ResNet50</w:t>
            </w:r>
          </w:p>
        </w:tc>
        <w:tc>
          <w:tcPr>
            <w:tcW w:type="dxa" w:w="1440"/>
            <w:vAlign w:val="center"/>
          </w:tcPr>
          <w:p>
            <w:r>
              <w:rPr>
                <w:sz w:val="16"/>
              </w:rPr>
              <w:t>0.647</w:t>
            </w:r>
          </w:p>
        </w:tc>
        <w:tc>
          <w:tcPr>
            <w:tcW w:type="dxa" w:w="1440"/>
            <w:vAlign w:val="center"/>
          </w:tcPr>
          <w:p>
            <w:r>
              <w:rPr>
                <w:sz w:val="16"/>
              </w:rPr>
              <w:t>0.200</w:t>
            </w:r>
          </w:p>
        </w:tc>
        <w:tc>
          <w:tcPr>
            <w:tcW w:type="dxa" w:w="1440"/>
            <w:vAlign w:val="center"/>
          </w:tcPr>
          <w:p>
            <w:r>
              <w:rPr>
                <w:sz w:val="16"/>
              </w:rPr>
              <w:t>0.728</w:t>
            </w:r>
          </w:p>
        </w:tc>
        <w:tc>
          <w:tcPr>
            <w:tcW w:type="dxa" w:w="1440"/>
            <w:vAlign w:val="center"/>
          </w:tcPr>
          <w:p>
            <w:r>
              <w:rPr>
                <w:sz w:val="16"/>
              </w:rPr>
              <w:t>0.418</w:t>
            </w:r>
          </w:p>
        </w:tc>
        <w:tc>
          <w:tcPr>
            <w:tcW w:type="dxa" w:w="1440"/>
            <w:vAlign w:val="center"/>
          </w:tcPr>
          <w:p>
            <w:r>
              <w:rPr>
                <w:sz w:val="16"/>
              </w:rPr>
              <w:t>-0.081</w:t>
            </w:r>
          </w:p>
        </w:tc>
        <w:tc>
          <w:tcPr>
            <w:tcW w:type="dxa" w:w="1440"/>
            <w:vAlign w:val="center"/>
          </w:tcPr>
          <w:p>
            <w:r>
              <w:rPr>
                <w:sz w:val="16"/>
              </w:rPr>
              <w:t>-0.218</w:t>
            </w:r>
          </w:p>
        </w:tc>
      </w:tr>
      <w:tr>
        <w:tc>
          <w:tcPr>
            <w:tcW w:type="dxa" w:w="1440"/>
            <w:vAlign w:val="center"/>
          </w:tcPr>
          <w:p>
            <w:r>
              <w:rPr>
                <w:sz w:val="16"/>
              </w:rPr>
              <w:t>EfficientNet-B0</w:t>
            </w:r>
          </w:p>
        </w:tc>
        <w:tc>
          <w:tcPr>
            <w:tcW w:type="dxa" w:w="1440"/>
            <w:vAlign w:val="center"/>
          </w:tcPr>
          <w:p>
            <w:r>
              <w:rPr>
                <w:sz w:val="16"/>
              </w:rPr>
              <w:t>0.656</w:t>
            </w:r>
          </w:p>
        </w:tc>
        <w:tc>
          <w:tcPr>
            <w:tcW w:type="dxa" w:w="1440"/>
            <w:vAlign w:val="center"/>
          </w:tcPr>
          <w:p>
            <w:r>
              <w:rPr>
                <w:sz w:val="16"/>
              </w:rPr>
              <w:t>0.218</w:t>
            </w:r>
          </w:p>
        </w:tc>
        <w:tc>
          <w:tcPr>
            <w:tcW w:type="dxa" w:w="1440"/>
            <w:vAlign w:val="center"/>
          </w:tcPr>
          <w:p>
            <w:r>
              <w:rPr>
                <w:sz w:val="16"/>
              </w:rPr>
              <w:t>0.656</w:t>
            </w:r>
          </w:p>
        </w:tc>
        <w:tc>
          <w:tcPr>
            <w:tcW w:type="dxa" w:w="1440"/>
            <w:vAlign w:val="center"/>
          </w:tcPr>
          <w:p>
            <w:r>
              <w:rPr>
                <w:sz w:val="16"/>
              </w:rPr>
              <w:t>0.370</w:t>
            </w:r>
          </w:p>
        </w:tc>
        <w:tc>
          <w:tcPr>
            <w:tcW w:type="dxa" w:w="1440"/>
            <w:vAlign w:val="center"/>
          </w:tcPr>
          <w:p>
            <w:r>
              <w:rPr>
                <w:sz w:val="16"/>
              </w:rPr>
              <w:t>-0.000</w:t>
            </w:r>
          </w:p>
        </w:tc>
        <w:tc>
          <w:tcPr>
            <w:tcW w:type="dxa" w:w="1440"/>
            <w:vAlign w:val="center"/>
          </w:tcPr>
          <w:p>
            <w:r>
              <w:rPr>
                <w:sz w:val="16"/>
              </w:rPr>
              <w:t>-0.153</w:t>
            </w:r>
          </w:p>
        </w:tc>
      </w:tr>
    </w:tbl>
    <w:p>
      <w:pPr>
        <w:pStyle w:val="Heading2"/>
      </w:pPr>
      <w:r>
        <w:t>Table 4. Calibration Metrics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D9EAF7"/>
          </w:tcPr>
          <w:p>
            <w:r>
              <w:rPr>
                <w:b/>
                <w:sz w:val="16"/>
              </w:rPr>
              <w:t>dataset</w:t>
            </w:r>
          </w:p>
        </w:tc>
        <w:tc>
          <w:tcPr>
            <w:tcW w:type="dxa" w:w="1440"/>
            <w:vAlign w:val="center"/>
            <w:shd w:fill="D9EAF7"/>
          </w:tcPr>
          <w:p>
            <w:r>
              <w:rPr>
                <w:b/>
                <w:sz w:val="16"/>
              </w:rPr>
              <w:t>method</w:t>
            </w:r>
          </w:p>
        </w:tc>
        <w:tc>
          <w:tcPr>
            <w:tcW w:type="dxa" w:w="1440"/>
            <w:vAlign w:val="center"/>
            <w:shd w:fill="D9EAF7"/>
          </w:tcPr>
          <w:p>
            <w:r>
              <w:rPr>
                <w:b/>
                <w:sz w:val="16"/>
              </w:rPr>
              <w:t>brier</w:t>
            </w:r>
          </w:p>
        </w:tc>
        <w:tc>
          <w:tcPr>
            <w:tcW w:type="dxa" w:w="1440"/>
            <w:vAlign w:val="center"/>
            <w:shd w:fill="D9EAF7"/>
          </w:tcPr>
          <w:p>
            <w:r>
              <w:rPr>
                <w:b/>
                <w:sz w:val="16"/>
              </w:rPr>
              <w:t>ece</w:t>
            </w:r>
          </w:p>
        </w:tc>
        <w:tc>
          <w:tcPr>
            <w:tcW w:type="dxa" w:w="1440"/>
            <w:vAlign w:val="center"/>
            <w:shd w:fill="D9EAF7"/>
          </w:tcPr>
          <w:p>
            <w:r>
              <w:rPr>
                <w:b/>
                <w:sz w:val="16"/>
              </w:rPr>
              <w:t>mce</w:t>
            </w:r>
          </w:p>
        </w:tc>
        <w:tc>
          <w:tcPr>
            <w:tcW w:type="dxa" w:w="1440"/>
            <w:vAlign w:val="center"/>
            <w:shd w:fill="D9EAF7"/>
          </w:tcPr>
          <w:p>
            <w:r>
              <w:rPr>
                <w:b/>
                <w:sz w:val="16"/>
              </w:rPr>
              <w:t>slope</w:t>
            </w:r>
          </w:p>
        </w:tc>
        <w:tc>
          <w:tcPr>
            <w:tcW w:type="dxa" w:w="1440"/>
            <w:vAlign w:val="center"/>
            <w:shd w:fill="D9EAF7"/>
          </w:tcPr>
          <w:p>
            <w:r>
              <w:rPr>
                <w:b/>
                <w:sz w:val="16"/>
              </w:rPr>
              <w:t>intercept</w:t>
            </w:r>
          </w:p>
        </w:tc>
      </w:tr>
      <w:tr>
        <w:tc>
          <w:tcPr>
            <w:tcW w:type="dxa" w:w="1440"/>
            <w:vAlign w:val="center"/>
          </w:tcPr>
          <w:p>
            <w:r>
              <w:rPr>
                <w:sz w:val="16"/>
              </w:rPr>
              <w:t>NIH_internal_test</w:t>
            </w:r>
          </w:p>
        </w:tc>
        <w:tc>
          <w:tcPr>
            <w:tcW w:type="dxa" w:w="1440"/>
            <w:vAlign w:val="center"/>
          </w:tcPr>
          <w:p>
            <w:r>
              <w:rPr>
                <w:sz w:val="16"/>
              </w:rPr>
              <w:t>uncalibrated</w:t>
            </w:r>
          </w:p>
        </w:tc>
        <w:tc>
          <w:tcPr>
            <w:tcW w:type="dxa" w:w="1440"/>
            <w:vAlign w:val="center"/>
          </w:tcPr>
          <w:p>
            <w:r>
              <w:rPr>
                <w:sz w:val="16"/>
              </w:rPr>
              <w:t>0.193</w:t>
            </w:r>
          </w:p>
        </w:tc>
        <w:tc>
          <w:tcPr>
            <w:tcW w:type="dxa" w:w="1440"/>
            <w:vAlign w:val="center"/>
          </w:tcPr>
          <w:p>
            <w:r>
              <w:rPr>
                <w:sz w:val="16"/>
              </w:rPr>
              <w:t>0.269</w:t>
            </w:r>
          </w:p>
        </w:tc>
        <w:tc>
          <w:tcPr>
            <w:tcW w:type="dxa" w:w="1440"/>
            <w:vAlign w:val="center"/>
          </w:tcPr>
          <w:p>
            <w:r>
              <w:rPr>
                <w:sz w:val="16"/>
              </w:rPr>
              <w:t>0.539</w:t>
            </w:r>
          </w:p>
        </w:tc>
        <w:tc>
          <w:tcPr>
            <w:tcW w:type="dxa" w:w="1440"/>
            <w:vAlign w:val="center"/>
          </w:tcPr>
          <w:p>
            <w:r>
              <w:rPr>
                <w:sz w:val="16"/>
              </w:rPr>
              <w:t>0.633</w:t>
            </w:r>
          </w:p>
        </w:tc>
        <w:tc>
          <w:tcPr>
            <w:tcW w:type="dxa" w:w="1440"/>
            <w:vAlign w:val="center"/>
          </w:tcPr>
          <w:p>
            <w:r>
              <w:rPr>
                <w:sz w:val="16"/>
              </w:rPr>
              <w:t>-2.285</w:t>
            </w:r>
          </w:p>
        </w:tc>
      </w:tr>
      <w:tr>
        <w:tc>
          <w:tcPr>
            <w:tcW w:type="dxa" w:w="1440"/>
            <w:vAlign w:val="center"/>
          </w:tcPr>
          <w:p>
            <w:r>
              <w:rPr>
                <w:sz w:val="16"/>
              </w:rPr>
              <w:t>NIH_internal_test</w:t>
            </w:r>
          </w:p>
        </w:tc>
        <w:tc>
          <w:tcPr>
            <w:tcW w:type="dxa" w:w="1440"/>
            <w:vAlign w:val="center"/>
          </w:tcPr>
          <w:p>
            <w:r>
              <w:rPr>
                <w:sz w:val="16"/>
              </w:rPr>
              <w:t>temperature</w:t>
            </w:r>
          </w:p>
        </w:tc>
        <w:tc>
          <w:tcPr>
            <w:tcW w:type="dxa" w:w="1440"/>
            <w:vAlign w:val="center"/>
          </w:tcPr>
          <w:p>
            <w:r>
              <w:rPr>
                <w:sz w:val="16"/>
              </w:rPr>
              <w:t>0.189</w:t>
            </w:r>
          </w:p>
        </w:tc>
        <w:tc>
          <w:tcPr>
            <w:tcW w:type="dxa" w:w="1440"/>
            <w:vAlign w:val="center"/>
          </w:tcPr>
          <w:p>
            <w:r>
              <w:rPr>
                <w:sz w:val="16"/>
              </w:rPr>
              <w:t>0.280</w:t>
            </w:r>
          </w:p>
        </w:tc>
        <w:tc>
          <w:tcPr>
            <w:tcW w:type="dxa" w:w="1440"/>
            <w:vAlign w:val="center"/>
          </w:tcPr>
          <w:p>
            <w:r>
              <w:rPr>
                <w:sz w:val="16"/>
              </w:rPr>
              <w:t>0.556</w:t>
            </w:r>
          </w:p>
        </w:tc>
        <w:tc>
          <w:tcPr>
            <w:tcW w:type="dxa" w:w="1440"/>
            <w:vAlign w:val="center"/>
          </w:tcPr>
          <w:p>
            <w:r>
              <w:rPr>
                <w:sz w:val="16"/>
              </w:rPr>
              <w:t>0.821</w:t>
            </w:r>
          </w:p>
        </w:tc>
        <w:tc>
          <w:tcPr>
            <w:tcW w:type="dxa" w:w="1440"/>
            <w:vAlign w:val="center"/>
          </w:tcPr>
          <w:p>
            <w:r>
              <w:rPr>
                <w:sz w:val="16"/>
              </w:rPr>
              <w:t>-2.286</w:t>
            </w:r>
          </w:p>
        </w:tc>
      </w:tr>
      <w:tr>
        <w:tc>
          <w:tcPr>
            <w:tcW w:type="dxa" w:w="1440"/>
            <w:vAlign w:val="center"/>
          </w:tcPr>
          <w:p>
            <w:r>
              <w:rPr>
                <w:sz w:val="16"/>
              </w:rPr>
              <w:t>NIH_internal_test</w:t>
            </w:r>
          </w:p>
        </w:tc>
        <w:tc>
          <w:tcPr>
            <w:tcW w:type="dxa" w:w="1440"/>
            <w:vAlign w:val="center"/>
          </w:tcPr>
          <w:p>
            <w:r>
              <w:rPr>
                <w:sz w:val="16"/>
              </w:rPr>
              <w:t>platt</w:t>
            </w:r>
          </w:p>
        </w:tc>
        <w:tc>
          <w:tcPr>
            <w:tcW w:type="dxa" w:w="1440"/>
            <w:vAlign w:val="center"/>
          </w:tcPr>
          <w:p>
            <w:r>
              <w:rPr>
                <w:sz w:val="16"/>
              </w:rPr>
              <w:t>0.079</w:t>
            </w:r>
          </w:p>
        </w:tc>
        <w:tc>
          <w:tcPr>
            <w:tcW w:type="dxa" w:w="1440"/>
            <w:vAlign w:val="center"/>
          </w:tcPr>
          <w:p>
            <w:r>
              <w:rPr>
                <w:sz w:val="16"/>
              </w:rPr>
              <w:t>0.028</w:t>
            </w:r>
          </w:p>
        </w:tc>
        <w:tc>
          <w:tcPr>
            <w:tcW w:type="dxa" w:w="1440"/>
            <w:vAlign w:val="center"/>
          </w:tcPr>
          <w:p>
            <w:r>
              <w:rPr>
                <w:sz w:val="16"/>
              </w:rPr>
              <w:t>0.269</w:t>
            </w:r>
          </w:p>
        </w:tc>
        <w:tc>
          <w:tcPr>
            <w:tcW w:type="dxa" w:w="1440"/>
            <w:vAlign w:val="center"/>
          </w:tcPr>
          <w:p>
            <w:r>
              <w:rPr>
                <w:sz w:val="16"/>
              </w:rPr>
              <w:t>1.151</w:t>
            </w:r>
          </w:p>
        </w:tc>
        <w:tc>
          <w:tcPr>
            <w:tcW w:type="dxa" w:w="1440"/>
            <w:vAlign w:val="center"/>
          </w:tcPr>
          <w:p>
            <w:r>
              <w:rPr>
                <w:sz w:val="16"/>
              </w:rPr>
              <w:t>0.389</w:t>
            </w:r>
          </w:p>
        </w:tc>
      </w:tr>
      <w:tr>
        <w:tc>
          <w:tcPr>
            <w:tcW w:type="dxa" w:w="1440"/>
            <w:vAlign w:val="center"/>
          </w:tcPr>
          <w:p>
            <w:r>
              <w:rPr>
                <w:sz w:val="16"/>
              </w:rPr>
              <w:t>NIH_internal_test</w:t>
            </w:r>
          </w:p>
        </w:tc>
        <w:tc>
          <w:tcPr>
            <w:tcW w:type="dxa" w:w="1440"/>
            <w:vAlign w:val="center"/>
          </w:tcPr>
          <w:p>
            <w:r>
              <w:rPr>
                <w:sz w:val="16"/>
              </w:rPr>
              <w:t>isotonic</w:t>
            </w:r>
          </w:p>
        </w:tc>
        <w:tc>
          <w:tcPr>
            <w:tcW w:type="dxa" w:w="1440"/>
            <w:vAlign w:val="center"/>
          </w:tcPr>
          <w:p>
            <w:r>
              <w:rPr>
                <w:sz w:val="16"/>
              </w:rPr>
              <w:t>0.081</w:t>
            </w:r>
          </w:p>
        </w:tc>
        <w:tc>
          <w:tcPr>
            <w:tcW w:type="dxa" w:w="1440"/>
            <w:vAlign w:val="center"/>
          </w:tcPr>
          <w:p>
            <w:r>
              <w:rPr>
                <w:sz w:val="16"/>
              </w:rPr>
              <w:t>0.031</w:t>
            </w:r>
          </w:p>
        </w:tc>
        <w:tc>
          <w:tcPr>
            <w:tcW w:type="dxa" w:w="1440"/>
            <w:vAlign w:val="center"/>
          </w:tcPr>
          <w:p>
            <w:r>
              <w:rPr>
                <w:sz w:val="16"/>
              </w:rPr>
              <w:t>0.286</w:t>
            </w:r>
          </w:p>
        </w:tc>
        <w:tc>
          <w:tcPr>
            <w:tcW w:type="dxa" w:w="1440"/>
            <w:vAlign w:val="center"/>
          </w:tcPr>
          <w:p>
            <w:r>
              <w:rPr>
                <w:sz w:val="16"/>
              </w:rPr>
              <w:t>0.405</w:t>
            </w:r>
          </w:p>
        </w:tc>
        <w:tc>
          <w:tcPr>
            <w:tcW w:type="dxa" w:w="1440"/>
            <w:vAlign w:val="center"/>
          </w:tcPr>
          <w:p>
            <w:r>
              <w:rPr>
                <w:sz w:val="16"/>
              </w:rPr>
              <w:t>-1.389</w:t>
            </w:r>
          </w:p>
        </w:tc>
      </w:tr>
      <w:tr>
        <w:tc>
          <w:tcPr>
            <w:tcW w:type="dxa" w:w="1440"/>
            <w:vAlign w:val="center"/>
          </w:tcPr>
          <w:p>
            <w:r>
              <w:rPr>
                <w:sz w:val="16"/>
              </w:rPr>
              <w:t>VinDr_external</w:t>
            </w:r>
          </w:p>
        </w:tc>
        <w:tc>
          <w:tcPr>
            <w:tcW w:type="dxa" w:w="1440"/>
            <w:vAlign w:val="center"/>
          </w:tcPr>
          <w:p>
            <w:r>
              <w:rPr>
                <w:sz w:val="16"/>
              </w:rPr>
              <w:t>uncalibrated</w:t>
            </w:r>
          </w:p>
        </w:tc>
        <w:tc>
          <w:tcPr>
            <w:tcW w:type="dxa" w:w="1440"/>
            <w:vAlign w:val="center"/>
          </w:tcPr>
          <w:p>
            <w:r>
              <w:rPr>
                <w:sz w:val="16"/>
              </w:rPr>
              <w:t>0.157</w:t>
            </w:r>
          </w:p>
        </w:tc>
        <w:tc>
          <w:tcPr>
            <w:tcW w:type="dxa" w:w="1440"/>
            <w:vAlign w:val="center"/>
          </w:tcPr>
          <w:p>
            <w:r>
              <w:rPr>
                <w:sz w:val="16"/>
              </w:rPr>
              <w:t>0.197</w:t>
            </w:r>
          </w:p>
        </w:tc>
        <w:tc>
          <w:tcPr>
            <w:tcW w:type="dxa" w:w="1440"/>
            <w:vAlign w:val="center"/>
          </w:tcPr>
          <w:p>
            <w:r>
              <w:rPr>
                <w:sz w:val="16"/>
              </w:rPr>
              <w:t>0.484</w:t>
            </w:r>
          </w:p>
        </w:tc>
        <w:tc>
          <w:tcPr>
            <w:tcW w:type="dxa" w:w="1440"/>
            <w:vAlign w:val="center"/>
          </w:tcPr>
          <w:p>
            <w:r>
              <w:rPr>
                <w:sz w:val="16"/>
              </w:rPr>
              <w:t>1.128</w:t>
            </w:r>
          </w:p>
        </w:tc>
        <w:tc>
          <w:tcPr>
            <w:tcW w:type="dxa" w:w="1440"/>
            <w:vAlign w:val="center"/>
          </w:tcPr>
          <w:p>
            <w:r>
              <w:rPr>
                <w:sz w:val="16"/>
              </w:rPr>
              <w:t>-1.658</w:t>
            </w:r>
          </w:p>
        </w:tc>
      </w:tr>
      <w:tr>
        <w:tc>
          <w:tcPr>
            <w:tcW w:type="dxa" w:w="1440"/>
            <w:vAlign w:val="center"/>
          </w:tcPr>
          <w:p>
            <w:r>
              <w:rPr>
                <w:sz w:val="16"/>
              </w:rPr>
              <w:t>VinDr_external</w:t>
            </w:r>
          </w:p>
        </w:tc>
        <w:tc>
          <w:tcPr>
            <w:tcW w:type="dxa" w:w="1440"/>
            <w:vAlign w:val="center"/>
          </w:tcPr>
          <w:p>
            <w:r>
              <w:rPr>
                <w:sz w:val="16"/>
              </w:rPr>
              <w:t>temperature</w:t>
            </w:r>
          </w:p>
        </w:tc>
        <w:tc>
          <w:tcPr>
            <w:tcW w:type="dxa" w:w="1440"/>
            <w:vAlign w:val="center"/>
          </w:tcPr>
          <w:p>
            <w:r>
              <w:rPr>
                <w:sz w:val="16"/>
              </w:rPr>
              <w:t>0.159</w:t>
            </w:r>
          </w:p>
        </w:tc>
        <w:tc>
          <w:tcPr>
            <w:tcW w:type="dxa" w:w="1440"/>
            <w:vAlign w:val="center"/>
          </w:tcPr>
          <w:p>
            <w:r>
              <w:rPr>
                <w:sz w:val="16"/>
              </w:rPr>
              <w:t>0.214</w:t>
            </w:r>
          </w:p>
        </w:tc>
        <w:tc>
          <w:tcPr>
            <w:tcW w:type="dxa" w:w="1440"/>
            <w:vAlign w:val="center"/>
          </w:tcPr>
          <w:p>
            <w:r>
              <w:rPr>
                <w:sz w:val="16"/>
              </w:rPr>
              <w:t>0.452</w:t>
            </w:r>
          </w:p>
        </w:tc>
        <w:tc>
          <w:tcPr>
            <w:tcW w:type="dxa" w:w="1440"/>
            <w:vAlign w:val="center"/>
          </w:tcPr>
          <w:p>
            <w:r>
              <w:rPr>
                <w:sz w:val="16"/>
              </w:rPr>
              <w:t>1.466</w:t>
            </w:r>
          </w:p>
        </w:tc>
        <w:tc>
          <w:tcPr>
            <w:tcW w:type="dxa" w:w="1440"/>
            <w:vAlign w:val="center"/>
          </w:tcPr>
          <w:p>
            <w:r>
              <w:rPr>
                <w:sz w:val="16"/>
              </w:rPr>
              <w:t>-1.657</w:t>
            </w:r>
          </w:p>
        </w:tc>
      </w:tr>
      <w:tr>
        <w:tc>
          <w:tcPr>
            <w:tcW w:type="dxa" w:w="1440"/>
            <w:vAlign w:val="center"/>
          </w:tcPr>
          <w:p>
            <w:r>
              <w:rPr>
                <w:sz w:val="16"/>
              </w:rPr>
              <w:t>VinDr_external</w:t>
            </w:r>
          </w:p>
        </w:tc>
        <w:tc>
          <w:tcPr>
            <w:tcW w:type="dxa" w:w="1440"/>
            <w:vAlign w:val="center"/>
          </w:tcPr>
          <w:p>
            <w:r>
              <w:rPr>
                <w:sz w:val="16"/>
              </w:rPr>
              <w:t>platt</w:t>
            </w:r>
          </w:p>
        </w:tc>
        <w:tc>
          <w:tcPr>
            <w:tcW w:type="dxa" w:w="1440"/>
            <w:vAlign w:val="center"/>
          </w:tcPr>
          <w:p>
            <w:r>
              <w:rPr>
                <w:sz w:val="16"/>
              </w:rPr>
              <w:t>0.120</w:t>
            </w:r>
          </w:p>
        </w:tc>
        <w:tc>
          <w:tcPr>
            <w:tcW w:type="dxa" w:w="1440"/>
            <w:vAlign w:val="center"/>
          </w:tcPr>
          <w:p>
            <w:r>
              <w:rPr>
                <w:sz w:val="16"/>
              </w:rPr>
              <w:t>0.099</w:t>
            </w:r>
          </w:p>
        </w:tc>
        <w:tc>
          <w:tcPr>
            <w:tcW w:type="dxa" w:w="1440"/>
            <w:vAlign w:val="center"/>
          </w:tcPr>
          <w:p>
            <w:r>
              <w:rPr>
                <w:sz w:val="16"/>
              </w:rPr>
              <w:t>0.236</w:t>
            </w:r>
          </w:p>
        </w:tc>
        <w:tc>
          <w:tcPr>
            <w:tcW w:type="dxa" w:w="1440"/>
            <w:vAlign w:val="center"/>
          </w:tcPr>
          <w:p>
            <w:r>
              <w:rPr>
                <w:sz w:val="16"/>
              </w:rPr>
              <w:t>2.436</w:t>
            </w:r>
          </w:p>
        </w:tc>
        <w:tc>
          <w:tcPr>
            <w:tcW w:type="dxa" w:w="1440"/>
            <w:vAlign w:val="center"/>
          </w:tcPr>
          <w:p>
            <w:r>
              <w:rPr>
                <w:sz w:val="16"/>
              </w:rPr>
              <w:t>3.957</w:t>
            </w:r>
          </w:p>
        </w:tc>
      </w:tr>
      <w:tr>
        <w:tc>
          <w:tcPr>
            <w:tcW w:type="dxa" w:w="1440"/>
            <w:vAlign w:val="center"/>
          </w:tcPr>
          <w:p>
            <w:r>
              <w:rPr>
                <w:sz w:val="16"/>
              </w:rPr>
              <w:t>VinDr_external</w:t>
            </w:r>
          </w:p>
        </w:tc>
        <w:tc>
          <w:tcPr>
            <w:tcW w:type="dxa" w:w="1440"/>
            <w:vAlign w:val="center"/>
          </w:tcPr>
          <w:p>
            <w:r>
              <w:rPr>
                <w:sz w:val="16"/>
              </w:rPr>
              <w:t>isotonic</w:t>
            </w:r>
          </w:p>
        </w:tc>
        <w:tc>
          <w:tcPr>
            <w:tcW w:type="dxa" w:w="1440"/>
            <w:vAlign w:val="center"/>
          </w:tcPr>
          <w:p>
            <w:r>
              <w:rPr>
                <w:sz w:val="16"/>
              </w:rPr>
              <w:t>0.119</w:t>
            </w:r>
          </w:p>
        </w:tc>
        <w:tc>
          <w:tcPr>
            <w:tcW w:type="dxa" w:w="1440"/>
            <w:vAlign w:val="center"/>
          </w:tcPr>
          <w:p>
            <w:r>
              <w:rPr>
                <w:sz w:val="16"/>
              </w:rPr>
              <w:t>0.095</w:t>
            </w:r>
          </w:p>
        </w:tc>
        <w:tc>
          <w:tcPr>
            <w:tcW w:type="dxa" w:w="1440"/>
            <w:vAlign w:val="center"/>
          </w:tcPr>
          <w:p>
            <w:r>
              <w:rPr>
                <w:sz w:val="16"/>
              </w:rPr>
              <w:t>0.322</w:t>
            </w:r>
          </w:p>
        </w:tc>
        <w:tc>
          <w:tcPr>
            <w:tcW w:type="dxa" w:w="1440"/>
            <w:vAlign w:val="center"/>
          </w:tcPr>
          <w:p>
            <w:r>
              <w:rPr>
                <w:sz w:val="16"/>
              </w:rPr>
              <w:t>1.159</w:t>
            </w:r>
          </w:p>
        </w:tc>
        <w:tc>
          <w:tcPr>
            <w:tcW w:type="dxa" w:w="1440"/>
            <w:vAlign w:val="center"/>
          </w:tcPr>
          <w:p>
            <w:r>
              <w:rPr>
                <w:sz w:val="16"/>
              </w:rPr>
              <w:t>0.548</w:t>
            </w:r>
          </w:p>
        </w:tc>
      </w:tr>
    </w:tbl>
    <w:p>
      <w:pPr>
        <w:pStyle w:val="Heading2"/>
      </w:pPr>
      <w:r>
        <w:t>Table 5. Sensitivity and Subgroup Analysis</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center"/>
            <w:shd w:fill="D9EAF7"/>
          </w:tcPr>
          <w:p>
            <w:r>
              <w:rPr>
                <w:b/>
                <w:sz w:val="16"/>
              </w:rPr>
              <w:t>subgroup_variable</w:t>
            </w:r>
          </w:p>
        </w:tc>
        <w:tc>
          <w:tcPr>
            <w:tcW w:type="dxa" w:w="1260"/>
            <w:vAlign w:val="center"/>
            <w:shd w:fill="D9EAF7"/>
          </w:tcPr>
          <w:p>
            <w:r>
              <w:rPr>
                <w:b/>
                <w:sz w:val="16"/>
              </w:rPr>
              <w:t>subgroup</w:t>
            </w:r>
          </w:p>
        </w:tc>
        <w:tc>
          <w:tcPr>
            <w:tcW w:type="dxa" w:w="1260"/>
            <w:vAlign w:val="center"/>
            <w:shd w:fill="D9EAF7"/>
          </w:tcPr>
          <w:p>
            <w:r>
              <w:rPr>
                <w:b/>
                <w:sz w:val="16"/>
              </w:rPr>
              <w:t>n_images</w:t>
            </w:r>
          </w:p>
        </w:tc>
        <w:tc>
          <w:tcPr>
            <w:tcW w:type="dxa" w:w="1260"/>
            <w:vAlign w:val="center"/>
            <w:shd w:fill="D9EAF7"/>
          </w:tcPr>
          <w:p>
            <w:r>
              <w:rPr>
                <w:b/>
                <w:sz w:val="16"/>
              </w:rPr>
              <w:t>n_patients</w:t>
            </w:r>
          </w:p>
        </w:tc>
        <w:tc>
          <w:tcPr>
            <w:tcW w:type="dxa" w:w="1260"/>
            <w:vAlign w:val="center"/>
            <w:shd w:fill="D9EAF7"/>
          </w:tcPr>
          <w:p>
            <w:r>
              <w:rPr>
                <w:b/>
                <w:sz w:val="16"/>
              </w:rPr>
              <w:t>macro_auroc</w:t>
            </w:r>
          </w:p>
        </w:tc>
        <w:tc>
          <w:tcPr>
            <w:tcW w:type="dxa" w:w="1260"/>
            <w:vAlign w:val="center"/>
            <w:shd w:fill="D9EAF7"/>
          </w:tcPr>
          <w:p>
            <w:r>
              <w:rPr>
                <w:b/>
                <w:sz w:val="16"/>
              </w:rPr>
              <w:t>macro_auprc</w:t>
            </w:r>
          </w:p>
        </w:tc>
        <w:tc>
          <w:tcPr>
            <w:tcW w:type="dxa" w:w="1260"/>
            <w:vAlign w:val="center"/>
            <w:shd w:fill="D9EAF7"/>
          </w:tcPr>
          <w:p>
            <w:r>
              <w:rPr>
                <w:b/>
                <w:sz w:val="16"/>
              </w:rPr>
              <w:t>macro_f1</w:t>
            </w:r>
          </w:p>
        </w:tc>
        <w:tc>
          <w:tcPr>
            <w:tcW w:type="dxa" w:w="1260"/>
            <w:vAlign w:val="center"/>
            <w:shd w:fill="D9EAF7"/>
          </w:tcPr>
          <w:p>
            <w:r>
              <w:rPr>
                <w:b/>
                <w:sz w:val="16"/>
              </w:rPr>
              <w:t>macro_accuracy</w:t>
            </w:r>
          </w:p>
        </w:tc>
      </w:tr>
      <w:tr>
        <w:tc>
          <w:tcPr>
            <w:tcW w:type="dxa" w:w="1260"/>
            <w:vAlign w:val="center"/>
          </w:tcPr>
          <w:p>
            <w:r>
              <w:rPr>
                <w:sz w:val="16"/>
              </w:rPr>
              <w:t>sex</w:t>
            </w:r>
          </w:p>
        </w:tc>
        <w:tc>
          <w:tcPr>
            <w:tcW w:type="dxa" w:w="1260"/>
            <w:vAlign w:val="center"/>
          </w:tcPr>
          <w:p>
            <w:r>
              <w:rPr>
                <w:sz w:val="16"/>
              </w:rPr>
              <w:t>F</w:t>
            </w:r>
          </w:p>
        </w:tc>
        <w:tc>
          <w:tcPr>
            <w:tcW w:type="dxa" w:w="1260"/>
            <w:vAlign w:val="center"/>
          </w:tcPr>
          <w:p>
            <w:r>
              <w:rPr>
                <w:sz w:val="16"/>
              </w:rPr>
              <w:t>299</w:t>
            </w:r>
          </w:p>
        </w:tc>
        <w:tc>
          <w:tcPr>
            <w:tcW w:type="dxa" w:w="1260"/>
            <w:vAlign w:val="center"/>
          </w:tcPr>
          <w:p>
            <w:r>
              <w:rPr>
                <w:sz w:val="16"/>
              </w:rPr>
              <w:t>160</w:t>
            </w:r>
          </w:p>
        </w:tc>
        <w:tc>
          <w:tcPr>
            <w:tcW w:type="dxa" w:w="1260"/>
            <w:vAlign w:val="center"/>
          </w:tcPr>
          <w:p>
            <w:r>
              <w:rPr>
                <w:sz w:val="16"/>
              </w:rPr>
              <w:t>0.681</w:t>
            </w:r>
          </w:p>
        </w:tc>
        <w:tc>
          <w:tcPr>
            <w:tcW w:type="dxa" w:w="1260"/>
            <w:vAlign w:val="center"/>
          </w:tcPr>
          <w:p>
            <w:r>
              <w:rPr>
                <w:sz w:val="16"/>
              </w:rPr>
              <w:t>0.246</w:t>
            </w:r>
          </w:p>
        </w:tc>
        <w:tc>
          <w:tcPr>
            <w:tcW w:type="dxa" w:w="1260"/>
            <w:vAlign w:val="center"/>
          </w:tcPr>
          <w:p>
            <w:r>
              <w:rPr>
                <w:sz w:val="16"/>
              </w:rPr>
              <w:t>0.265</w:t>
            </w:r>
          </w:p>
        </w:tc>
        <w:tc>
          <w:tcPr>
            <w:tcW w:type="dxa" w:w="1260"/>
            <w:vAlign w:val="center"/>
          </w:tcPr>
          <w:p>
            <w:r>
              <w:rPr>
                <w:sz w:val="16"/>
              </w:rPr>
              <w:t>0.752</w:t>
            </w:r>
          </w:p>
        </w:tc>
      </w:tr>
      <w:tr>
        <w:tc>
          <w:tcPr>
            <w:tcW w:type="dxa" w:w="1260"/>
            <w:vAlign w:val="center"/>
          </w:tcPr>
          <w:p>
            <w:r>
              <w:rPr>
                <w:sz w:val="16"/>
              </w:rPr>
              <w:t>sex</w:t>
            </w:r>
          </w:p>
        </w:tc>
        <w:tc>
          <w:tcPr>
            <w:tcW w:type="dxa" w:w="1260"/>
            <w:vAlign w:val="center"/>
          </w:tcPr>
          <w:p>
            <w:r>
              <w:rPr>
                <w:sz w:val="16"/>
              </w:rPr>
              <w:t>M</w:t>
            </w:r>
          </w:p>
        </w:tc>
        <w:tc>
          <w:tcPr>
            <w:tcW w:type="dxa" w:w="1260"/>
            <w:vAlign w:val="center"/>
          </w:tcPr>
          <w:p>
            <w:r>
              <w:rPr>
                <w:sz w:val="16"/>
              </w:rPr>
              <w:t>440</w:t>
            </w:r>
          </w:p>
        </w:tc>
        <w:tc>
          <w:tcPr>
            <w:tcW w:type="dxa" w:w="1260"/>
            <w:vAlign w:val="center"/>
          </w:tcPr>
          <w:p>
            <w:r>
              <w:rPr>
                <w:sz w:val="16"/>
              </w:rPr>
              <w:t>219</w:t>
            </w:r>
          </w:p>
        </w:tc>
        <w:tc>
          <w:tcPr>
            <w:tcW w:type="dxa" w:w="1260"/>
            <w:vAlign w:val="center"/>
          </w:tcPr>
          <w:p>
            <w:r>
              <w:rPr>
                <w:sz w:val="16"/>
              </w:rPr>
              <w:t>0.674</w:t>
            </w:r>
          </w:p>
        </w:tc>
        <w:tc>
          <w:tcPr>
            <w:tcW w:type="dxa" w:w="1260"/>
            <w:vAlign w:val="center"/>
          </w:tcPr>
          <w:p>
            <w:r>
              <w:rPr>
                <w:sz w:val="16"/>
              </w:rPr>
              <w:t>0.189</w:t>
            </w:r>
          </w:p>
        </w:tc>
        <w:tc>
          <w:tcPr>
            <w:tcW w:type="dxa" w:w="1260"/>
            <w:vAlign w:val="center"/>
          </w:tcPr>
          <w:p>
            <w:r>
              <w:rPr>
                <w:sz w:val="16"/>
              </w:rPr>
              <w:t>0.225</w:t>
            </w:r>
          </w:p>
        </w:tc>
        <w:tc>
          <w:tcPr>
            <w:tcW w:type="dxa" w:w="1260"/>
            <w:vAlign w:val="center"/>
          </w:tcPr>
          <w:p>
            <w:r>
              <w:rPr>
                <w:sz w:val="16"/>
              </w:rPr>
              <w:t>0.786</w:t>
            </w:r>
          </w:p>
        </w:tc>
      </w:tr>
      <w:tr>
        <w:tc>
          <w:tcPr>
            <w:tcW w:type="dxa" w:w="1260"/>
            <w:vAlign w:val="center"/>
          </w:tcPr>
          <w:p>
            <w:r>
              <w:rPr>
                <w:sz w:val="16"/>
              </w:rPr>
              <w:t>view_position</w:t>
            </w:r>
          </w:p>
        </w:tc>
        <w:tc>
          <w:tcPr>
            <w:tcW w:type="dxa" w:w="1260"/>
            <w:vAlign w:val="center"/>
          </w:tcPr>
          <w:p>
            <w:r>
              <w:rPr>
                <w:sz w:val="16"/>
              </w:rPr>
              <w:t>AP</w:t>
            </w:r>
          </w:p>
        </w:tc>
        <w:tc>
          <w:tcPr>
            <w:tcW w:type="dxa" w:w="1260"/>
            <w:vAlign w:val="center"/>
          </w:tcPr>
          <w:p>
            <w:r>
              <w:rPr>
                <w:sz w:val="16"/>
              </w:rPr>
              <w:t>356</w:t>
            </w:r>
          </w:p>
        </w:tc>
        <w:tc>
          <w:tcPr>
            <w:tcW w:type="dxa" w:w="1260"/>
            <w:vAlign w:val="center"/>
          </w:tcPr>
          <w:p>
            <w:r>
              <w:rPr>
                <w:sz w:val="16"/>
              </w:rPr>
              <w:t>220</w:t>
            </w:r>
          </w:p>
        </w:tc>
        <w:tc>
          <w:tcPr>
            <w:tcW w:type="dxa" w:w="1260"/>
            <w:vAlign w:val="center"/>
          </w:tcPr>
          <w:p>
            <w:r>
              <w:rPr>
                <w:sz w:val="16"/>
              </w:rPr>
              <w:t>0.652</w:t>
            </w:r>
          </w:p>
        </w:tc>
        <w:tc>
          <w:tcPr>
            <w:tcW w:type="dxa" w:w="1260"/>
            <w:vAlign w:val="center"/>
          </w:tcPr>
          <w:p>
            <w:r>
              <w:rPr>
                <w:sz w:val="16"/>
              </w:rPr>
              <w:t>0.202</w:t>
            </w:r>
          </w:p>
        </w:tc>
        <w:tc>
          <w:tcPr>
            <w:tcW w:type="dxa" w:w="1260"/>
            <w:vAlign w:val="center"/>
          </w:tcPr>
          <w:p>
            <w:r>
              <w:rPr>
                <w:sz w:val="16"/>
              </w:rPr>
              <w:t>0.229</w:t>
            </w:r>
          </w:p>
        </w:tc>
        <w:tc>
          <w:tcPr>
            <w:tcW w:type="dxa" w:w="1260"/>
            <w:vAlign w:val="center"/>
          </w:tcPr>
          <w:p>
            <w:r>
              <w:rPr>
                <w:sz w:val="16"/>
              </w:rPr>
              <w:t>0.690</w:t>
            </w:r>
          </w:p>
        </w:tc>
      </w:tr>
      <w:tr>
        <w:tc>
          <w:tcPr>
            <w:tcW w:type="dxa" w:w="1260"/>
            <w:vAlign w:val="center"/>
          </w:tcPr>
          <w:p>
            <w:r>
              <w:rPr>
                <w:sz w:val="16"/>
              </w:rPr>
              <w:t>view_position</w:t>
            </w:r>
          </w:p>
        </w:tc>
        <w:tc>
          <w:tcPr>
            <w:tcW w:type="dxa" w:w="1260"/>
            <w:vAlign w:val="center"/>
          </w:tcPr>
          <w:p>
            <w:r>
              <w:rPr>
                <w:sz w:val="16"/>
              </w:rPr>
              <w:t>PA</w:t>
            </w:r>
          </w:p>
        </w:tc>
        <w:tc>
          <w:tcPr>
            <w:tcW w:type="dxa" w:w="1260"/>
            <w:vAlign w:val="center"/>
          </w:tcPr>
          <w:p>
            <w:r>
              <w:rPr>
                <w:sz w:val="16"/>
              </w:rPr>
              <w:t>383</w:t>
            </w:r>
          </w:p>
        </w:tc>
        <w:tc>
          <w:tcPr>
            <w:tcW w:type="dxa" w:w="1260"/>
            <w:vAlign w:val="center"/>
          </w:tcPr>
          <w:p>
            <w:r>
              <w:rPr>
                <w:sz w:val="16"/>
              </w:rPr>
              <w:t>249</w:t>
            </w:r>
          </w:p>
        </w:tc>
        <w:tc>
          <w:tcPr>
            <w:tcW w:type="dxa" w:w="1260"/>
            <w:vAlign w:val="center"/>
          </w:tcPr>
          <w:p>
            <w:r>
              <w:rPr>
                <w:sz w:val="16"/>
              </w:rPr>
              <w:t>0.678</w:t>
            </w:r>
          </w:p>
        </w:tc>
        <w:tc>
          <w:tcPr>
            <w:tcW w:type="dxa" w:w="1260"/>
            <w:vAlign w:val="center"/>
          </w:tcPr>
          <w:p>
            <w:r>
              <w:rPr>
                <w:sz w:val="16"/>
              </w:rPr>
              <w:t>0.232</w:t>
            </w:r>
          </w:p>
        </w:tc>
        <w:tc>
          <w:tcPr>
            <w:tcW w:type="dxa" w:w="1260"/>
            <w:vAlign w:val="center"/>
          </w:tcPr>
          <w:p>
            <w:r>
              <w:rPr>
                <w:sz w:val="16"/>
              </w:rPr>
              <w:t>0.241</w:t>
            </w:r>
          </w:p>
        </w:tc>
        <w:tc>
          <w:tcPr>
            <w:tcW w:type="dxa" w:w="1260"/>
            <w:vAlign w:val="center"/>
          </w:tcPr>
          <w:p>
            <w:r>
              <w:rPr>
                <w:sz w:val="16"/>
              </w:rPr>
              <w:t>0.849</w:t>
            </w:r>
          </w:p>
        </w:tc>
      </w:tr>
    </w:tbl>
    <w:p>
      <w:r>
        <w:br w:type="page"/>
      </w:r>
    </w:p>
    <w:p>
      <w:pPr>
        <w:pStyle w:val="Heading2"/>
      </w:pPr>
      <w:r>
        <w:t>Figure 1. Study Workflow</w:t>
      </w:r>
    </w:p>
    <w:p>
      <w:pPr>
        <w:jc w:val="center"/>
      </w:pPr>
      <w:r>
        <w:drawing>
          <wp:inline xmlns:a="http://schemas.openxmlformats.org/drawingml/2006/main" xmlns:pic="http://schemas.openxmlformats.org/drawingml/2006/picture">
            <wp:extent cx="5943600" cy="1651000"/>
            <wp:docPr id="1" name="Picture 1"/>
            <wp:cNvGraphicFramePr>
              <a:graphicFrameLocks noChangeAspect="1"/>
            </wp:cNvGraphicFramePr>
            <a:graphic>
              <a:graphicData uri="http://schemas.openxmlformats.org/drawingml/2006/picture">
                <pic:pic>
                  <pic:nvPicPr>
                    <pic:cNvPr id="0" name="figure1_study_workflow_large.jpg"/>
                    <pic:cNvPicPr/>
                  </pic:nvPicPr>
                  <pic:blipFill>
                    <a:blip r:embed="rId9"/>
                    <a:stretch>
                      <a:fillRect/>
                    </a:stretch>
                  </pic:blipFill>
                  <pic:spPr>
                    <a:xfrm>
                      <a:off x="0" y="0"/>
                      <a:ext cx="5943600" cy="1651000"/>
                    </a:xfrm>
                    <a:prstGeom prst="rect"/>
                  </pic:spPr>
                </pic:pic>
              </a:graphicData>
            </a:graphic>
          </wp:inline>
        </w:drawing>
      </w:r>
    </w:p>
    <w:p>
      <w:pPr>
        <w:pStyle w:val="Caption"/>
      </w:pPr>
      <w:r>
        <w:t>Expanded NIH development workflow with independent VinDr-derived external validation.</w:t>
      </w:r>
    </w:p>
    <w:p>
      <w:pPr>
        <w:pStyle w:val="Heading2"/>
      </w:pPr>
      <w:r>
        <w:t>Figure 2. Internal vs External AUROC/AUPRC</w:t>
      </w:r>
    </w:p>
    <w:p>
      <w:pPr>
        <w:jc w:val="center"/>
      </w:pPr>
      <w:r>
        <w:drawing>
          <wp:inline xmlns:a="http://schemas.openxmlformats.org/drawingml/2006/main" xmlns:pic="http://schemas.openxmlformats.org/drawingml/2006/picture">
            <wp:extent cx="5943600" cy="2836718"/>
            <wp:docPr id="2" name="Picture 2"/>
            <wp:cNvGraphicFramePr>
              <a:graphicFrameLocks noChangeAspect="1"/>
            </wp:cNvGraphicFramePr>
            <a:graphic>
              <a:graphicData uri="http://schemas.openxmlformats.org/drawingml/2006/picture">
                <pic:pic>
                  <pic:nvPicPr>
                    <pic:cNvPr id="0" name="figure2_internal_vs_external_auroc_auprc_ci.jpg"/>
                    <pic:cNvPicPr/>
                  </pic:nvPicPr>
                  <pic:blipFill>
                    <a:blip r:embed="rId10"/>
                    <a:stretch>
                      <a:fillRect/>
                    </a:stretch>
                  </pic:blipFill>
                  <pic:spPr>
                    <a:xfrm>
                      <a:off x="0" y="0"/>
                      <a:ext cx="5943600" cy="2836718"/>
                    </a:xfrm>
                    <a:prstGeom prst="rect"/>
                  </pic:spPr>
                </pic:pic>
              </a:graphicData>
            </a:graphic>
          </wp:inline>
        </w:drawing>
      </w:r>
    </w:p>
    <w:p>
      <w:pPr>
        <w:pStyle w:val="Caption"/>
      </w:pPr>
      <w:r>
        <w:t>Label-wise internal and external discrimination metrics.</w:t>
      </w:r>
    </w:p>
    <w:p>
      <w:pPr>
        <w:pStyle w:val="Heading2"/>
      </w:pPr>
      <w:r>
        <w:t>Figure 3. Calibration Curves</w:t>
      </w:r>
    </w:p>
    <w:p>
      <w:pPr>
        <w:jc w:val="center"/>
      </w:pPr>
      <w:r>
        <w:drawing>
          <wp:inline xmlns:a="http://schemas.openxmlformats.org/drawingml/2006/main" xmlns:pic="http://schemas.openxmlformats.org/drawingml/2006/picture">
            <wp:extent cx="5943600" cy="2859464"/>
            <wp:docPr id="3" name="Picture 3"/>
            <wp:cNvGraphicFramePr>
              <a:graphicFrameLocks noChangeAspect="1"/>
            </wp:cNvGraphicFramePr>
            <a:graphic>
              <a:graphicData uri="http://schemas.openxmlformats.org/drawingml/2006/picture">
                <pic:pic>
                  <pic:nvPicPr>
                    <pic:cNvPr id="0" name="figure3_calibration_curves_large.jpg"/>
                    <pic:cNvPicPr/>
                  </pic:nvPicPr>
                  <pic:blipFill>
                    <a:blip r:embed="rId11"/>
                    <a:stretch>
                      <a:fillRect/>
                    </a:stretch>
                  </pic:blipFill>
                  <pic:spPr>
                    <a:xfrm>
                      <a:off x="0" y="0"/>
                      <a:ext cx="5943600" cy="2859464"/>
                    </a:xfrm>
                    <a:prstGeom prst="rect"/>
                  </pic:spPr>
                </pic:pic>
              </a:graphicData>
            </a:graphic>
          </wp:inline>
        </w:drawing>
      </w:r>
    </w:p>
    <w:p>
      <w:pPr>
        <w:pStyle w:val="Caption"/>
      </w:pPr>
      <w:r>
        <w:t>Reliability diagrams after NIH-only calibration fitting and transfer.</w:t>
      </w:r>
    </w:p>
    <w:p>
      <w:pPr>
        <w:pStyle w:val="Heading2"/>
      </w:pPr>
      <w:r>
        <w:t>Figure 4. Grad-CAM++ Failure-mode Examples</w:t>
      </w:r>
    </w:p>
    <w:p>
      <w:pPr>
        <w:jc w:val="center"/>
      </w:pPr>
      <w:r>
        <w:drawing>
          <wp:inline xmlns:a="http://schemas.openxmlformats.org/drawingml/2006/main" xmlns:pic="http://schemas.openxmlformats.org/drawingml/2006/picture">
            <wp:extent cx="5943600" cy="2600325"/>
            <wp:docPr id="4" name="Picture 4"/>
            <wp:cNvGraphicFramePr>
              <a:graphicFrameLocks noChangeAspect="1"/>
            </wp:cNvGraphicFramePr>
            <a:graphic>
              <a:graphicData uri="http://schemas.openxmlformats.org/drawingml/2006/picture">
                <pic:pic>
                  <pic:nvPicPr>
                    <pic:cNvPr id="0" name="figure4_gradcam_failure_modes_large.jpg"/>
                    <pic:cNvPicPr/>
                  </pic:nvPicPr>
                  <pic:blipFill>
                    <a:blip r:embed="rId12"/>
                    <a:stretch>
                      <a:fillRect/>
                    </a:stretch>
                  </pic:blipFill>
                  <pic:spPr>
                    <a:xfrm>
                      <a:off x="0" y="0"/>
                      <a:ext cx="5943600" cy="2600325"/>
                    </a:xfrm>
                    <a:prstGeom prst="rect"/>
                  </pic:spPr>
                </pic:pic>
              </a:graphicData>
            </a:graphic>
          </wp:inline>
        </w:drawing>
      </w:r>
    </w:p>
    <w:p>
      <w:pPr>
        <w:pStyle w:val="Caption"/>
      </w:pPr>
      <w:r>
        <w:t>Representative TP/FP/FN/TN heatmap panels.</w:t>
      </w:r>
    </w:p>
    <w:p>
      <w:pPr>
        <w:pStyle w:val="Heading2"/>
      </w:pPr>
      <w:r>
        <w:t>Figure 5. External Performance Drop by Label</w:t>
      </w:r>
    </w:p>
    <w:p>
      <w:pPr>
        <w:jc w:val="center"/>
      </w:pPr>
      <w:r>
        <w:drawing>
          <wp:inline xmlns:a="http://schemas.openxmlformats.org/drawingml/2006/main" xmlns:pic="http://schemas.openxmlformats.org/drawingml/2006/picture">
            <wp:extent cx="5943600" cy="3302000"/>
            <wp:docPr id="5" name="Picture 5"/>
            <wp:cNvGraphicFramePr>
              <a:graphicFrameLocks noChangeAspect="1"/>
            </wp:cNvGraphicFramePr>
            <a:graphic>
              <a:graphicData uri="http://schemas.openxmlformats.org/drawingml/2006/picture">
                <pic:pic>
                  <pic:nvPicPr>
                    <pic:cNvPr id="0" name="figure5_external_performance_drop_by_label.jpg"/>
                    <pic:cNvPicPr/>
                  </pic:nvPicPr>
                  <pic:blipFill>
                    <a:blip r:embed="rId13"/>
                    <a:stretch>
                      <a:fillRect/>
                    </a:stretch>
                  </pic:blipFill>
                  <pic:spPr>
                    <a:xfrm>
                      <a:off x="0" y="0"/>
                      <a:ext cx="5943600" cy="3302000"/>
                    </a:xfrm>
                    <a:prstGeom prst="rect"/>
                  </pic:spPr>
                </pic:pic>
              </a:graphicData>
            </a:graphic>
          </wp:inline>
        </w:drawing>
      </w:r>
    </w:p>
    <w:p>
      <w:pPr>
        <w:pStyle w:val="Caption"/>
      </w:pPr>
      <w:r>
        <w:t>Internal minus external AUROC; negative values indicate higher AUROC in the external subset.</w:t>
      </w:r>
    </w:p>
    <w:p>
      <w:pPr>
        <w:pStyle w:val="Heading2"/>
      </w:pPr>
      <w:r>
        <w:t>Supplementary Figure. Original Small Public-subset Result</w:t>
      </w:r>
    </w:p>
    <w:p>
      <w:pPr>
        <w:jc w:val="center"/>
      </w:pPr>
      <w:r>
        <w:drawing>
          <wp:inline xmlns:a="http://schemas.openxmlformats.org/drawingml/2006/main" xmlns:pic="http://schemas.openxmlformats.org/drawingml/2006/picture">
            <wp:extent cx="5943600" cy="2823210"/>
            <wp:docPr id="6" name="Picture 6"/>
            <wp:cNvGraphicFramePr>
              <a:graphicFrameLocks noChangeAspect="1"/>
            </wp:cNvGraphicFramePr>
            <a:graphic>
              <a:graphicData uri="http://schemas.openxmlformats.org/drawingml/2006/picture">
                <pic:pic>
                  <pic:nvPicPr>
                    <pic:cNvPr id="0" name="supplementary_figure_original_small_subset.jpg"/>
                    <pic:cNvPicPr/>
                  </pic:nvPicPr>
                  <pic:blipFill>
                    <a:blip r:embed="rId14"/>
                    <a:stretch>
                      <a:fillRect/>
                    </a:stretch>
                  </pic:blipFill>
                  <pic:spPr>
                    <a:xfrm>
                      <a:off x="0" y="0"/>
                      <a:ext cx="5943600" cy="2823210"/>
                    </a:xfrm>
                    <a:prstGeom prst="rect"/>
                  </pic:spPr>
                </pic:pic>
              </a:graphicData>
            </a:graphic>
          </wp:inline>
        </w:drawing>
      </w:r>
    </w:p>
    <w:p>
      <w:pPr>
        <w:pStyle w:val="Caption"/>
      </w:pPr>
      <w:r>
        <w:t>Small public-subset result retained as supplementary pipeline history.</w:t>
      </w:r>
    </w:p>
    <w:p>
      <w:pPr>
        <w:pStyle w:val="Heading1"/>
      </w:pPr>
      <w:r>
        <w:t>Reviewer-risk Audit</w:t>
      </w:r>
    </w:p>
    <w:p>
      <w:pPr>
        <w:pStyle w:val="ListBullet"/>
      </w:pPr>
      <w:r>
        <w:t>Subset rather than full official release: still present; mitigated by explicitly describing public executable subsets.</w:t>
      </w:r>
    </w:p>
    <w:p>
      <w:pPr>
        <w:pStyle w:val="ListBullet"/>
      </w:pPr>
      <w:r>
        <w:t>Limited sample size: improved from 1229/494 to 5000/1000 images, but still not full cohort.</w:t>
      </w:r>
    </w:p>
    <w:p>
      <w:pPr>
        <w:pStyle w:val="ListBullet"/>
      </w:pPr>
      <w:r>
        <w:t>Incomplete VinDr labels for Edema or Pneumonia: still present; these labels are excluded from external primary claims.</w:t>
      </w:r>
    </w:p>
    <w:p>
      <w:pPr>
        <w:pStyle w:val="ListBullet"/>
      </w:pPr>
      <w:r>
        <w:t>Weak NIH report-mined labels: still present; discussed as label-noise limitation.</w:t>
      </w:r>
    </w:p>
    <w:p>
      <w:pPr>
        <w:pStyle w:val="ListBullet"/>
      </w:pPr>
      <w:r>
        <w:t>Class imbalance: still present; handled with positive class weights and prevalence reporting.</w:t>
      </w:r>
    </w:p>
    <w:p>
      <w:pPr>
        <w:pStyle w:val="ListBullet"/>
      </w:pPr>
      <w:r>
        <w:t>Confidence intervals: addressed with patient-level bootstrap CI.</w:t>
      </w:r>
    </w:p>
    <w:p>
      <w:pPr>
        <w:pStyle w:val="ListBullet"/>
      </w:pPr>
      <w:r>
        <w:t>Calibration overclaiming: mitigated by reporting Brier, ECE, MCE, slope, intercept, and caution about unstable post-hoc calibration.</w:t>
      </w:r>
    </w:p>
    <w:p>
      <w:pPr>
        <w:pStyle w:val="ListBullet"/>
      </w:pPr>
      <w:r>
        <w:t>Grad-CAM overinterpretation: mitigated by explicitly limiting Grad-CAM++ to failure-mode analysis.</w:t>
      </w:r>
    </w:p>
    <w:p>
      <w:pPr>
        <w:pStyle w:val="Heading1"/>
      </w:pPr>
      <w:r>
        <w:t>Re-run Commands</w:t>
      </w:r>
    </w:p>
    <w:p>
      <w:pPr>
        <w:pStyle w:val="IntenseQuote"/>
      </w:pPr>
      <w:r>
        <w:t>.\.venv\Scripts\python.exe scripts\prepare_hf_large.py --nih-max-images 5000 --nih-train-shards 5 --vindr-target-images 1000 --epochs 5</w:t>
      </w:r>
    </w:p>
    <w:p>
      <w:pPr>
        <w:pStyle w:val="IntenseQuote"/>
      </w:pPr>
      <w:r>
        <w:t>.\.venv\Scripts\python.exe scripts\train.py --config configs\hf_large.yaml</w:t>
      </w:r>
    </w:p>
    <w:p>
      <w:pPr>
        <w:pStyle w:val="IntenseQuote"/>
      </w:pPr>
      <w:r>
        <w:t>.\.venv\Scripts\python.exe scripts\evaluate_internal.py --config configs\hf_large.yaml</w:t>
      </w:r>
    </w:p>
    <w:p>
      <w:pPr>
        <w:pStyle w:val="IntenseQuote"/>
      </w:pPr>
      <w:r>
        <w:t>.\.venv\Scripts\python.exe scripts\evaluate_external.py --config configs\hf_large.yaml</w:t>
      </w:r>
    </w:p>
    <w:p>
      <w:pPr>
        <w:pStyle w:val="IntenseQuote"/>
      </w:pPr>
      <w:r>
        <w:t>.\.venv\Scripts\python.exe scripts\calibration.py --config configs\hf_large.yaml</w:t>
      </w:r>
    </w:p>
    <w:p>
      <w:pPr>
        <w:pStyle w:val="IntenseQuote"/>
      </w:pPr>
      <w:r>
        <w:t>.\.venv\Scripts\python.exe scripts\gradcam.py --config configs\hf_large.yaml --max-cases-per-label 1</w:t>
      </w:r>
    </w:p>
    <w:p>
      <w:pPr>
        <w:pStyle w:val="IntenseQuote"/>
      </w:pPr>
      <w:r>
        <w:t>.\.venv\Scripts\python.exe scripts\make_resnet50_config.py</w:t>
      </w:r>
    </w:p>
    <w:p>
      <w:pPr>
        <w:pStyle w:val="IntenseQuote"/>
      </w:pPr>
      <w:r>
        <w:t>.\.venv\Scripts\python.exe scripts\train.py --config configs\hf_large_resnet50.yaml</w:t>
      </w:r>
    </w:p>
    <w:p>
      <w:pPr>
        <w:pStyle w:val="IntenseQuote"/>
      </w:pPr>
      <w:r>
        <w:t>.\.venv\Scripts\python.exe scripts\evaluate_internal.py --config configs\hf_large_resnet50.yaml</w:t>
      </w:r>
    </w:p>
    <w:p>
      <w:pPr>
        <w:pStyle w:val="IntenseQuote"/>
      </w:pPr>
      <w:r>
        <w:t>.\.venv\Scripts\python.exe scripts\evaluate_external.py --config configs\hf_large_resnet50.yaml</w:t>
      </w:r>
    </w:p>
    <w:p>
      <w:pPr>
        <w:pStyle w:val="IntenseQuote"/>
      </w:pPr>
      <w:r>
        <w:t>.\.venv\Scripts\python.exe scripts\calibration.py --config configs\hf_large_resnet50.yaml</w:t>
      </w:r>
    </w:p>
    <w:p>
      <w:pPr>
        <w:pStyle w:val="IntenseQuote"/>
      </w:pPr>
      <w:r>
        <w:t>.\.venv\Scripts\python.exe scripts\gradcam.py --config configs\hf_large_resnet50.yaml --max-cases-per-label 1</w:t>
      </w:r>
    </w:p>
    <w:p>
      <w:pPr>
        <w:pStyle w:val="IntenseQuote"/>
      </w:pPr>
      <w:r>
        <w:t>.\.venv\Scripts\python.exe scripts\make_efficientnet_b0_config.py</w:t>
      </w:r>
    </w:p>
    <w:p>
      <w:pPr>
        <w:pStyle w:val="IntenseQuote"/>
      </w:pPr>
      <w:r>
        <w:t>.\.venv\Scripts\python.exe scripts\train.py --config configs\hf_large_efficientnet_b0.yaml</w:t>
      </w:r>
    </w:p>
    <w:p>
      <w:pPr>
        <w:pStyle w:val="IntenseQuote"/>
      </w:pPr>
      <w:r>
        <w:t>.\.venv\Scripts\python.exe scripts\evaluate_internal.py --config configs\hf_large_efficientnet_b0.yaml</w:t>
      </w:r>
    </w:p>
    <w:p>
      <w:pPr>
        <w:pStyle w:val="IntenseQuote"/>
      </w:pPr>
      <w:r>
        <w:t>.\.venv\Scripts\python.exe scripts\evaluate_external.py --config configs\hf_large_efficientnet_b0.yaml</w:t>
      </w:r>
    </w:p>
    <w:p>
      <w:pPr>
        <w:pStyle w:val="IntenseQuote"/>
      </w:pPr>
      <w:r>
        <w:t>.\.venv\Scripts\python.exe scripts\calibration.py --config configs\hf_large_efficientnet_b0.yaml</w:t>
      </w:r>
    </w:p>
    <w:p>
      <w:pPr>
        <w:pStyle w:val="IntenseQuote"/>
      </w:pPr>
      <w:r>
        <w:t>.\.venv\Scripts\python.exe scripts\gradcam.py --config configs\hf_large_efficientnet_b0.yaml --max-cases-per-label 1</w:t>
      </w:r>
    </w:p>
    <w:p>
      <w:pPr>
        <w:pStyle w:val="IntenseQuote"/>
      </w:pPr>
      <w:r>
        <w:t>.\.venv\Scripts\python.exe scripts\build_large_assets.py</w:t>
      </w:r>
    </w:p>
    <w:sectPr w:rsidR="00FC693F" w:rsidRPr="0006063C" w:rsidSect="00034616">
      <w:pgSz w:w="12240" w:h="1584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