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0"/>
        </w:rPr>
        <w:t>Supplementary Materials Organization</w:t>
      </w:r>
    </w:p>
    <w:p>
      <w:pPr>
        <w:jc w:val="center"/>
      </w:pPr>
      <w:r>
        <w:rPr>
          <w:i/>
          <w:sz w:val="20"/>
        </w:rPr>
        <w:t>Public-subset chest radiograph validation</w:t>
      </w:r>
    </w:p>
    <w:p>
      <w:r>
        <w:t>Supplementary materials should begin with a brief note that all supplementary analyses use the same fixed NIH development splits, validation-derived thresholds, NIH-only calibration fitting, and selected VinDr-derived external subset described in the main manuscript.</w:t>
      </w:r>
    </w:p>
    <w:p>
      <w:pPr>
        <w:pStyle w:val="Heading1"/>
      </w:pPr>
      <w:r>
        <w:t>Supplementary Methods</w:t>
      </w:r>
    </w:p>
    <w:p>
      <w:pPr>
        <w:pStyle w:val="ListBullet"/>
      </w:pPr>
      <w:r>
        <w:t>Dataset extraction and public-subset construction.</w:t>
      </w:r>
    </w:p>
    <w:p>
      <w:pPr>
        <w:pStyle w:val="ListBullet"/>
      </w:pPr>
      <w:r>
        <w:t>Label harmonization and external-evaluable label definition.</w:t>
      </w:r>
    </w:p>
    <w:p>
      <w:pPr>
        <w:pStyle w:val="ListBullet"/>
      </w:pPr>
      <w:r>
        <w:t>Patient-level NIH split verification and external identifier limitations.</w:t>
      </w:r>
    </w:p>
    <w:p>
      <w:pPr>
        <w:pStyle w:val="ListBullet"/>
      </w:pPr>
      <w:r>
        <w:t>Threshold selection, bootstrap resampling, and calibration fitting details.</w:t>
      </w:r>
    </w:p>
    <w:p>
      <w:pPr>
        <w:pStyle w:val="ListBullet"/>
      </w:pPr>
      <w:r>
        <w:t>Grad-CAM++ case-selection and failure-mode review procedure.</w:t>
      </w:r>
    </w:p>
    <w:p>
      <w:pPr>
        <w:pStyle w:val="Heading1"/>
      </w:pPr>
      <w:r>
        <w:t>Supplementary Tables</w:t>
      </w:r>
    </w:p>
    <w:p>
      <w:pPr>
        <w:pStyle w:val="Heading2"/>
      </w:pPr>
      <w:r>
        <w:t>Supplementary Table 1. ResNet50 label-wise performance</w:t>
      </w:r>
    </w:p>
    <w:p>
      <w:r>
        <w:t>Comparator label-wise internal and external metrics.</w:t>
      </w:r>
    </w:p>
    <w:p>
      <w:pPr>
        <w:pStyle w:val="Heading2"/>
      </w:pPr>
      <w:r>
        <w:t>Supplementary Table 2. EfficientNet-B0 label-wise performance</w:t>
      </w:r>
    </w:p>
    <w:p>
      <w:r>
        <w:t>Comparator label-wise internal and external metrics.</w:t>
      </w:r>
    </w:p>
    <w:p>
      <w:pPr>
        <w:pStyle w:val="Heading2"/>
      </w:pPr>
      <w:r>
        <w:t>Supplementary Table 3. Per-label thresholds from NIH validation</w:t>
      </w:r>
    </w:p>
    <w:p>
      <w:r>
        <w:t>Threshold provenance and validation F1 values.</w:t>
      </w:r>
    </w:p>
    <w:p>
      <w:pPr>
        <w:pStyle w:val="Heading2"/>
      </w:pPr>
      <w:r>
        <w:t>Supplementary Table 4. AUPRC prevalence baseline and lift</w:t>
      </w:r>
    </w:p>
    <w:p>
      <w:r>
        <w:t>Prevalence-aware precision-recall interpretation.</w:t>
      </w:r>
    </w:p>
    <w:p>
      <w:pPr>
        <w:pStyle w:val="Heading2"/>
      </w:pPr>
      <w:r>
        <w:t>Supplementary Table 5. Per-label calibration metrics</w:t>
      </w:r>
    </w:p>
    <w:p>
      <w:r>
        <w:t>Label-level Brier, ECE, MCE, slope, and intercept.</w:t>
      </w:r>
    </w:p>
    <w:p>
      <w:pPr>
        <w:pStyle w:val="Heading2"/>
      </w:pPr>
      <w:r>
        <w:t>Supplementary Table 6. Paired bootstrap model comparisons</w:t>
      </w:r>
    </w:p>
    <w:p>
      <w:r>
        <w:t>Descriptive architecture comparisons.</w:t>
      </w:r>
    </w:p>
    <w:p>
      <w:pPr>
        <w:pStyle w:val="Heading2"/>
      </w:pPr>
      <w:r>
        <w:t>Supplementary Table 7. Hyperparameters and environment</w:t>
      </w:r>
    </w:p>
    <w:p>
      <w:r>
        <w:t>Training and software environment details.</w:t>
      </w:r>
    </w:p>
    <w:p>
      <w:pPr>
        <w:pStyle w:val="Heading2"/>
      </w:pPr>
      <w:r>
        <w:t>Supplementary Table 8. Reproducibility commands</w:t>
      </w:r>
    </w:p>
    <w:p>
      <w:r>
        <w:t>Commands used to rerun the pipeline.</w:t>
      </w:r>
    </w:p>
    <w:p>
      <w:pPr>
        <w:pStyle w:val="Heading2"/>
      </w:pPr>
      <w:r>
        <w:t>Supplementary Table 9. Dataset-source and license summary</w:t>
      </w:r>
    </w:p>
    <w:p>
      <w:r>
        <w:t>Dataset source, access, and citation notes.</w:t>
      </w:r>
    </w:p>
    <w:p>
      <w:pPr>
        <w:pStyle w:val="Heading2"/>
      </w:pPr>
      <w:r>
        <w:t>Supplementary Table 10. Descriptive subgroup analysis</w:t>
      </w:r>
    </w:p>
    <w:p>
      <w:r>
        <w:t>Moved from main text unless target journal requests all tables in the manuscript.</w:t>
      </w:r>
    </w:p>
    <w:p>
      <w:pPr>
        <w:pStyle w:val="Heading1"/>
      </w:pPr>
      <w:r>
        <w:t>Supplementary Figures</w:t>
      </w:r>
    </w:p>
    <w:p>
      <w:pPr>
        <w:pStyle w:val="Heading2"/>
      </w:pPr>
      <w:r>
        <w:t>Supplementary Figure 1. DenseNet121 ROC and precision-recall curves</w:t>
      </w:r>
    </w:p>
    <w:p>
      <w:r>
        <w:t>Per-label ROC and precision-recall curves for NIH internal and selected VinDr-derived external evaluation. External labels with zero positive cases are omitted from curve panels.</w:t>
      </w:r>
    </w:p>
    <w:p>
      <w:pPr>
        <w:pStyle w:val="Heading2"/>
      </w:pPr>
      <w:r>
        <w:t>Supplementary Figure 2. DenseNet121 predicted probability distributions</w:t>
      </w:r>
    </w:p>
    <w:p>
      <w:r>
        <w:t>Predicted probability distributions by dataset and label, used to inspect calibration and domain-shift behavior.</w:t>
      </w:r>
    </w:p>
    <w:p>
      <w:pPr>
        <w:pStyle w:val="Heading2"/>
      </w:pPr>
      <w:r>
        <w:t>Supplementary Figure 3. Additional Grad-CAM++ failure-mode panels</w:t>
      </w:r>
    </w:p>
    <w:p>
      <w:r>
        <w:t>Additional qualitative true-positive, false-positive, false-negative, and true-negative examples. These panels are not localization ground truth.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