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8FAB" w14:textId="75053457" w:rsidR="00817B7E" w:rsidRPr="00817B7E" w:rsidRDefault="00817B7E" w:rsidP="00817B7E">
      <w:pPr>
        <w:spacing w:line="240" w:lineRule="auto"/>
        <w:rPr>
          <w:rFonts w:ascii="Times New Roman" w:hAnsi="Times New Roman" w:cs="Times New Roman"/>
          <w:b/>
          <w:bCs/>
          <w:sz w:val="32"/>
          <w:szCs w:val="32"/>
          <w:u w:val="single"/>
        </w:rPr>
      </w:pPr>
      <w:r w:rsidRPr="00817B7E">
        <w:rPr>
          <w:rFonts w:ascii="Times New Roman" w:hAnsi="Times New Roman" w:cs="Times New Roman"/>
          <w:b/>
          <w:bCs/>
          <w:sz w:val="32"/>
          <w:szCs w:val="32"/>
          <w:u w:val="single"/>
        </w:rPr>
        <w:t>Introduction</w:t>
      </w:r>
    </w:p>
    <w:p w14:paraId="61CB5CF6" w14:textId="51F197D2"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rPr>
        <w:t xml:space="preserve">In an era where digital frontiers are continually expanding, the realm of cybersecurity faces unprecedented challenges. Advanced Persistent Threat (APT) groups, equipped with state-of-the-art tactics, techniques, and procedures (TTPs), have emerged as formidable adversaries. These entities, often sponsored by nation-states or operating as sophisticated criminal enterprises, engage in activities aimed at espionage, data theft, and causing systemic disruptions. Their operations, characterized by a high degree of stealth and persistence, target critical sectors and are designed to </w:t>
      </w:r>
      <w:r w:rsidRPr="00817B7E">
        <w:rPr>
          <w:rFonts w:ascii="Times New Roman" w:hAnsi="Times New Roman" w:cs="Times New Roman"/>
        </w:rPr>
        <w:t>fulfil</w:t>
      </w:r>
      <w:r w:rsidRPr="00817B7E">
        <w:rPr>
          <w:rFonts w:ascii="Times New Roman" w:hAnsi="Times New Roman" w:cs="Times New Roman"/>
        </w:rPr>
        <w:t xml:space="preserve"> long-term strategic objectives. The detailed examination of incidents involving groups like ITG05, </w:t>
      </w:r>
      <w:proofErr w:type="spellStart"/>
      <w:r w:rsidRPr="00817B7E">
        <w:rPr>
          <w:rFonts w:ascii="Times New Roman" w:hAnsi="Times New Roman" w:cs="Times New Roman"/>
        </w:rPr>
        <w:t>ToddyCat</w:t>
      </w:r>
      <w:proofErr w:type="spellEnd"/>
      <w:r w:rsidRPr="00817B7E">
        <w:rPr>
          <w:rFonts w:ascii="Times New Roman" w:hAnsi="Times New Roman" w:cs="Times New Roman"/>
        </w:rPr>
        <w:t xml:space="preserve">, and </w:t>
      </w:r>
      <w:proofErr w:type="spellStart"/>
      <w:r w:rsidRPr="00817B7E">
        <w:rPr>
          <w:rFonts w:ascii="Times New Roman" w:hAnsi="Times New Roman" w:cs="Times New Roman"/>
        </w:rPr>
        <w:t>ShadowPad</w:t>
      </w:r>
      <w:proofErr w:type="spellEnd"/>
      <w:r w:rsidRPr="00817B7E">
        <w:rPr>
          <w:rFonts w:ascii="Times New Roman" w:hAnsi="Times New Roman" w:cs="Times New Roman"/>
        </w:rPr>
        <w:t xml:space="preserve"> not only exposes the depth of sophistication these threats entail but also underscores the evolving complexity of cyber warfare.</w:t>
      </w:r>
    </w:p>
    <w:p w14:paraId="6D35F64D" w14:textId="6E5370B0"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rPr>
        <w:t xml:space="preserve">These APT campaigns reveal a multi-layered approach to cyber intrusions, showcasing an alarming proficiency in exploiting vulnerabilities, conducting espionage, and exfiltrating sensitive information. By </w:t>
      </w:r>
      <w:r w:rsidRPr="00817B7E">
        <w:rPr>
          <w:rFonts w:ascii="Times New Roman" w:hAnsi="Times New Roman" w:cs="Times New Roman"/>
        </w:rPr>
        <w:t>analysing</w:t>
      </w:r>
      <w:r w:rsidRPr="00817B7E">
        <w:rPr>
          <w:rFonts w:ascii="Times New Roman" w:hAnsi="Times New Roman" w:cs="Times New Roman"/>
        </w:rPr>
        <w:t xml:space="preserve"> these incidents, cybersecurity professionals gain invaluable insights into the methodologies of these attackers, providing a solid foundation for developing robust </w:t>
      </w:r>
      <w:r w:rsidRPr="00817B7E">
        <w:rPr>
          <w:rFonts w:ascii="Times New Roman" w:hAnsi="Times New Roman" w:cs="Times New Roman"/>
        </w:rPr>
        <w:t>defence</w:t>
      </w:r>
      <w:r w:rsidRPr="00817B7E">
        <w:rPr>
          <w:rFonts w:ascii="Times New Roman" w:hAnsi="Times New Roman" w:cs="Times New Roman"/>
        </w:rPr>
        <w:t xml:space="preserve"> mechanisms. Understanding the nuances of these campaigns is crucial for devising effective strategies to detect, deter, and defend against sophisticated cyber threats. This report aims to </w:t>
      </w:r>
      <w:r w:rsidRPr="00817B7E">
        <w:rPr>
          <w:rFonts w:ascii="Times New Roman" w:hAnsi="Times New Roman" w:cs="Times New Roman"/>
        </w:rPr>
        <w:t>distil</w:t>
      </w:r>
      <w:r w:rsidRPr="00817B7E">
        <w:rPr>
          <w:rFonts w:ascii="Times New Roman" w:hAnsi="Times New Roman" w:cs="Times New Roman"/>
        </w:rPr>
        <w:t xml:space="preserve"> key lessons from recent APT activities, offering strategic guidance to bolster cybersecurity </w:t>
      </w:r>
      <w:r w:rsidRPr="00817B7E">
        <w:rPr>
          <w:rFonts w:ascii="Times New Roman" w:hAnsi="Times New Roman" w:cs="Times New Roman"/>
        </w:rPr>
        <w:t>defences</w:t>
      </w:r>
      <w:r w:rsidRPr="00817B7E">
        <w:rPr>
          <w:rFonts w:ascii="Times New Roman" w:hAnsi="Times New Roman" w:cs="Times New Roman"/>
        </w:rPr>
        <w:t xml:space="preserve"> in an increasingly volatile digital landscape.</w:t>
      </w:r>
    </w:p>
    <w:p w14:paraId="7A0A40DE" w14:textId="6B154FC3" w:rsidR="00817B7E" w:rsidRDefault="00817B7E" w:rsidP="00817B7E">
      <w:pPr>
        <w:spacing w:line="240" w:lineRule="auto"/>
        <w:rPr>
          <w:rFonts w:ascii="Times New Roman" w:hAnsi="Times New Roman" w:cs="Times New Roman"/>
        </w:rPr>
      </w:pPr>
      <w:r w:rsidRPr="00817B7E">
        <w:rPr>
          <w:rFonts w:ascii="Times New Roman" w:hAnsi="Times New Roman" w:cs="Times New Roman"/>
        </w:rPr>
        <w:t>As we delve into the specifics of these APT operations, it becomes evident that the battle for cybersecurity is not just about technological superiority but also about strategic foresight and resilience. Through a comprehensive analysis of these incidents, this report seeks to enhance our collective understanding of APT strategies and to foster the development of advanced defensive measures capable of countering the sophisticated tactics employed by these adversaries.</w:t>
      </w:r>
    </w:p>
    <w:p w14:paraId="7A799B50" w14:textId="77777777" w:rsidR="00817B7E" w:rsidRPr="00817B7E" w:rsidRDefault="00817B7E" w:rsidP="00817B7E">
      <w:pPr>
        <w:spacing w:line="240" w:lineRule="auto"/>
        <w:rPr>
          <w:rFonts w:ascii="Times New Roman" w:hAnsi="Times New Roman" w:cs="Times New Roman"/>
        </w:rPr>
      </w:pPr>
    </w:p>
    <w:p w14:paraId="627A6D2F" w14:textId="0DBB98F7" w:rsidR="00817B7E" w:rsidRPr="00817B7E" w:rsidRDefault="00817B7E" w:rsidP="00817B7E">
      <w:pPr>
        <w:spacing w:line="240" w:lineRule="auto"/>
        <w:rPr>
          <w:rFonts w:ascii="Times New Roman" w:hAnsi="Times New Roman" w:cs="Times New Roman"/>
          <w:b/>
          <w:bCs/>
          <w:sz w:val="32"/>
          <w:szCs w:val="32"/>
          <w:u w:val="single"/>
        </w:rPr>
      </w:pPr>
      <w:r w:rsidRPr="00817B7E">
        <w:rPr>
          <w:rFonts w:ascii="Times New Roman" w:hAnsi="Times New Roman" w:cs="Times New Roman"/>
          <w:b/>
          <w:bCs/>
          <w:sz w:val="32"/>
          <w:szCs w:val="32"/>
          <w:u w:val="single"/>
        </w:rPr>
        <w:t xml:space="preserve">Comprehensive Analysis and </w:t>
      </w:r>
      <w:r w:rsidRPr="00817B7E">
        <w:rPr>
          <w:rFonts w:ascii="Times New Roman" w:hAnsi="Times New Roman" w:cs="Times New Roman"/>
          <w:b/>
          <w:bCs/>
          <w:sz w:val="32"/>
          <w:szCs w:val="32"/>
          <w:u w:val="single"/>
        </w:rPr>
        <w:t>Defence</w:t>
      </w:r>
      <w:r w:rsidRPr="00817B7E">
        <w:rPr>
          <w:rFonts w:ascii="Times New Roman" w:hAnsi="Times New Roman" w:cs="Times New Roman"/>
          <w:b/>
          <w:bCs/>
          <w:sz w:val="32"/>
          <w:szCs w:val="32"/>
          <w:u w:val="single"/>
        </w:rPr>
        <w:t xml:space="preserve"> Mechanisms</w:t>
      </w:r>
    </w:p>
    <w:p w14:paraId="48C83760" w14:textId="3F45C492"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t>Exploitation of Vulnerabilities</w:t>
      </w:r>
      <w:r w:rsidRPr="00817B7E">
        <w:rPr>
          <w:rFonts w:ascii="Times New Roman" w:hAnsi="Times New Roman" w:cs="Times New Roman"/>
        </w:rPr>
        <w:t>: A consistent theme across these APT campaigns is the exploitation of vulnerabilities in public-facing applications for initial access. The ITG05 operations, leveraging geopolitical conflicts, highlight this tactic​​.</w:t>
      </w:r>
    </w:p>
    <w:p w14:paraId="44014859" w14:textId="13A4E886"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t>Defence</w:t>
      </w:r>
      <w:r w:rsidRPr="00817B7E">
        <w:rPr>
          <w:rFonts w:ascii="Times New Roman" w:hAnsi="Times New Roman" w:cs="Times New Roman"/>
          <w:b/>
          <w:bCs/>
        </w:rPr>
        <w:t xml:space="preserve"> Mechanism</w:t>
      </w:r>
      <w:r w:rsidRPr="00817B7E">
        <w:rPr>
          <w:rFonts w:ascii="Times New Roman" w:hAnsi="Times New Roman" w:cs="Times New Roman"/>
        </w:rPr>
        <w:t>: A rigorous vulnerability management program, incorporating regular scans and timely patching, is crucial. The deployment of web application firewalls (WAF) can further mitigate these risks.</w:t>
      </w:r>
    </w:p>
    <w:p w14:paraId="00415C72" w14:textId="77777777" w:rsidR="00817B7E" w:rsidRPr="00817B7E" w:rsidRDefault="00817B7E" w:rsidP="00817B7E">
      <w:pPr>
        <w:spacing w:line="240" w:lineRule="auto"/>
        <w:rPr>
          <w:rFonts w:ascii="Times New Roman" w:hAnsi="Times New Roman" w:cs="Times New Roman"/>
        </w:rPr>
      </w:pPr>
    </w:p>
    <w:p w14:paraId="79BCD730" w14:textId="7292FA6A"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t>Persistence Through Web Shells</w:t>
      </w:r>
      <w:r w:rsidRPr="00817B7E">
        <w:rPr>
          <w:rFonts w:ascii="Times New Roman" w:hAnsi="Times New Roman" w:cs="Times New Roman"/>
        </w:rPr>
        <w:t xml:space="preserve">: The deployment of Web Shells for maintaining access was notably used in the </w:t>
      </w:r>
      <w:proofErr w:type="spellStart"/>
      <w:r w:rsidRPr="00817B7E">
        <w:rPr>
          <w:rFonts w:ascii="Times New Roman" w:hAnsi="Times New Roman" w:cs="Times New Roman"/>
        </w:rPr>
        <w:t>ToddyCat</w:t>
      </w:r>
      <w:proofErr w:type="spellEnd"/>
      <w:r w:rsidRPr="00817B7E">
        <w:rPr>
          <w:rFonts w:ascii="Times New Roman" w:hAnsi="Times New Roman" w:cs="Times New Roman"/>
        </w:rPr>
        <w:t xml:space="preserve"> campaign​​. This technique underscores the necessity for vigilant monitoring and robust incident response protocols.</w:t>
      </w:r>
    </w:p>
    <w:p w14:paraId="5C983E67" w14:textId="19872806"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t>Defence</w:t>
      </w:r>
      <w:r w:rsidRPr="00817B7E">
        <w:rPr>
          <w:rFonts w:ascii="Times New Roman" w:hAnsi="Times New Roman" w:cs="Times New Roman"/>
          <w:b/>
          <w:bCs/>
        </w:rPr>
        <w:t xml:space="preserve"> Mechanism</w:t>
      </w:r>
      <w:r w:rsidRPr="00817B7E">
        <w:rPr>
          <w:rFonts w:ascii="Times New Roman" w:hAnsi="Times New Roman" w:cs="Times New Roman"/>
        </w:rPr>
        <w:t>: Advanced intrusion detection systems (IDS) and rigorous web server log reviews can help identify and mitigate the use of Web Shells.</w:t>
      </w:r>
    </w:p>
    <w:p w14:paraId="579ED9E5" w14:textId="77777777" w:rsidR="00817B7E" w:rsidRDefault="00817B7E" w:rsidP="00817B7E">
      <w:pPr>
        <w:spacing w:line="240" w:lineRule="auto"/>
        <w:rPr>
          <w:rFonts w:ascii="Times New Roman" w:hAnsi="Times New Roman" w:cs="Times New Roman"/>
        </w:rPr>
      </w:pPr>
    </w:p>
    <w:p w14:paraId="3EDEFBA9" w14:textId="77777777" w:rsidR="00817B7E" w:rsidRPr="00817B7E" w:rsidRDefault="00817B7E" w:rsidP="00817B7E">
      <w:pPr>
        <w:spacing w:line="240" w:lineRule="auto"/>
        <w:rPr>
          <w:rFonts w:ascii="Times New Roman" w:hAnsi="Times New Roman" w:cs="Times New Roman"/>
        </w:rPr>
      </w:pPr>
    </w:p>
    <w:p w14:paraId="77D5BE2A" w14:textId="0B9DAB7F"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lastRenderedPageBreak/>
        <w:t>Credential Theft for Lateral Movement</w:t>
      </w:r>
      <w:r w:rsidRPr="00817B7E">
        <w:rPr>
          <w:rFonts w:ascii="Times New Roman" w:hAnsi="Times New Roman" w:cs="Times New Roman"/>
        </w:rPr>
        <w:t xml:space="preserve">: The </w:t>
      </w:r>
      <w:proofErr w:type="spellStart"/>
      <w:r w:rsidRPr="00817B7E">
        <w:rPr>
          <w:rFonts w:ascii="Times New Roman" w:hAnsi="Times New Roman" w:cs="Times New Roman"/>
        </w:rPr>
        <w:t>ShadowPad</w:t>
      </w:r>
      <w:proofErr w:type="spellEnd"/>
      <w:r w:rsidRPr="00817B7E">
        <w:rPr>
          <w:rFonts w:ascii="Times New Roman" w:hAnsi="Times New Roman" w:cs="Times New Roman"/>
        </w:rPr>
        <w:t xml:space="preserve"> campaign demonstrated sophisticated methods for credential theft, facilitating lateral movement within networks​​.</w:t>
      </w:r>
    </w:p>
    <w:p w14:paraId="5DED54AE" w14:textId="1EE0624D"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t>Defence</w:t>
      </w:r>
      <w:r w:rsidRPr="00817B7E">
        <w:rPr>
          <w:rFonts w:ascii="Times New Roman" w:hAnsi="Times New Roman" w:cs="Times New Roman"/>
          <w:b/>
          <w:bCs/>
        </w:rPr>
        <w:t xml:space="preserve"> Mechanism</w:t>
      </w:r>
      <w:r w:rsidRPr="00817B7E">
        <w:rPr>
          <w:rFonts w:ascii="Times New Roman" w:hAnsi="Times New Roman" w:cs="Times New Roman"/>
        </w:rPr>
        <w:t>: Strengthening credential security through multifactor authentication (MFA) and deploying deception technologies can significantly reduce these risks.</w:t>
      </w:r>
    </w:p>
    <w:p w14:paraId="74D68820" w14:textId="77777777" w:rsidR="00817B7E" w:rsidRPr="00817B7E" w:rsidRDefault="00817B7E" w:rsidP="00817B7E">
      <w:pPr>
        <w:spacing w:line="240" w:lineRule="auto"/>
        <w:rPr>
          <w:rFonts w:ascii="Times New Roman" w:hAnsi="Times New Roman" w:cs="Times New Roman"/>
        </w:rPr>
      </w:pPr>
    </w:p>
    <w:p w14:paraId="2A144F8E" w14:textId="3AC8EBB2"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t>Sophisticated Data Exfiltration</w:t>
      </w:r>
      <w:r w:rsidRPr="00817B7E">
        <w:rPr>
          <w:rFonts w:ascii="Times New Roman" w:hAnsi="Times New Roman" w:cs="Times New Roman"/>
        </w:rPr>
        <w:t xml:space="preserve">: </w:t>
      </w:r>
      <w:proofErr w:type="spellStart"/>
      <w:r w:rsidRPr="00817B7E">
        <w:rPr>
          <w:rFonts w:ascii="Times New Roman" w:hAnsi="Times New Roman" w:cs="Times New Roman"/>
        </w:rPr>
        <w:t>ToddyCat's</w:t>
      </w:r>
      <w:proofErr w:type="spellEnd"/>
      <w:r w:rsidRPr="00817B7E">
        <w:rPr>
          <w:rFonts w:ascii="Times New Roman" w:hAnsi="Times New Roman" w:cs="Times New Roman"/>
        </w:rPr>
        <w:t xml:space="preserve"> use of legitimate cloud storage for data exfiltration underscores the need for advanced data protection strategies​​.</w:t>
      </w:r>
    </w:p>
    <w:p w14:paraId="683CD70C" w14:textId="1333096A"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t>Defence</w:t>
      </w:r>
      <w:r w:rsidRPr="00817B7E">
        <w:rPr>
          <w:rFonts w:ascii="Times New Roman" w:hAnsi="Times New Roman" w:cs="Times New Roman"/>
          <w:b/>
          <w:bCs/>
        </w:rPr>
        <w:t xml:space="preserve"> Mechanism</w:t>
      </w:r>
      <w:r w:rsidRPr="00817B7E">
        <w:rPr>
          <w:rFonts w:ascii="Times New Roman" w:hAnsi="Times New Roman" w:cs="Times New Roman"/>
        </w:rPr>
        <w:t>: Data loss prevention (DLP) solutions, alongside encryption of sensitive data, are essential. Monitoring outbound traffic for anomalies can also alert to potential exfiltration attempts.</w:t>
      </w:r>
    </w:p>
    <w:p w14:paraId="0112C6BF" w14:textId="77777777" w:rsidR="00817B7E" w:rsidRPr="00817B7E" w:rsidRDefault="00817B7E" w:rsidP="00817B7E">
      <w:pPr>
        <w:spacing w:line="240" w:lineRule="auto"/>
        <w:rPr>
          <w:rFonts w:ascii="Times New Roman" w:hAnsi="Times New Roman" w:cs="Times New Roman"/>
        </w:rPr>
      </w:pPr>
    </w:p>
    <w:p w14:paraId="0A9880D5" w14:textId="4906ED38"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t>Supply Chain Vulnerabilitie</w:t>
      </w:r>
      <w:r w:rsidRPr="00817B7E">
        <w:rPr>
          <w:rFonts w:ascii="Times New Roman" w:hAnsi="Times New Roman" w:cs="Times New Roman"/>
        </w:rPr>
        <w:t>s: The incidents highlight the increasing threat to supply chains, where attackers compromise third-party services or software as an initial access vector​​.</w:t>
      </w:r>
    </w:p>
    <w:p w14:paraId="17931411" w14:textId="2B9A7983"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b/>
          <w:bCs/>
        </w:rPr>
        <w:t>Defence</w:t>
      </w:r>
      <w:r w:rsidRPr="00817B7E">
        <w:rPr>
          <w:rFonts w:ascii="Times New Roman" w:hAnsi="Times New Roman" w:cs="Times New Roman"/>
          <w:b/>
          <w:bCs/>
        </w:rPr>
        <w:t xml:space="preserve"> Mechanism</w:t>
      </w:r>
      <w:r w:rsidRPr="00817B7E">
        <w:rPr>
          <w:rFonts w:ascii="Times New Roman" w:hAnsi="Times New Roman" w:cs="Times New Roman"/>
        </w:rPr>
        <w:t>: Extending security policies to include third-party vendors and conducting regular security assessments is key. Employing software supply chain security tools can provide additional safeguards.</w:t>
      </w:r>
    </w:p>
    <w:p w14:paraId="00759BDC" w14:textId="77777777" w:rsidR="00817B7E" w:rsidRPr="00817B7E" w:rsidRDefault="00817B7E" w:rsidP="00817B7E">
      <w:pPr>
        <w:spacing w:line="240" w:lineRule="auto"/>
        <w:rPr>
          <w:rFonts w:ascii="Times New Roman" w:hAnsi="Times New Roman" w:cs="Times New Roman"/>
        </w:rPr>
      </w:pPr>
    </w:p>
    <w:p w14:paraId="3AE8E591" w14:textId="77777777" w:rsidR="00817B7E" w:rsidRPr="00817B7E" w:rsidRDefault="00817B7E" w:rsidP="00817B7E">
      <w:pPr>
        <w:spacing w:line="240" w:lineRule="auto"/>
        <w:rPr>
          <w:rFonts w:ascii="Times New Roman" w:hAnsi="Times New Roman" w:cs="Times New Roman"/>
          <w:b/>
          <w:bCs/>
          <w:sz w:val="32"/>
          <w:szCs w:val="32"/>
          <w:u w:val="single"/>
        </w:rPr>
      </w:pPr>
      <w:r w:rsidRPr="00817B7E">
        <w:rPr>
          <w:rFonts w:ascii="Times New Roman" w:hAnsi="Times New Roman" w:cs="Times New Roman"/>
          <w:b/>
          <w:bCs/>
          <w:sz w:val="32"/>
          <w:szCs w:val="32"/>
          <w:u w:val="single"/>
        </w:rPr>
        <w:t>Conclusion and Recommendations</w:t>
      </w:r>
    </w:p>
    <w:p w14:paraId="13BBD0AF" w14:textId="547F9804" w:rsidR="00817B7E" w:rsidRPr="00817B7E" w:rsidRDefault="00817B7E" w:rsidP="00817B7E">
      <w:pPr>
        <w:spacing w:line="240" w:lineRule="auto"/>
        <w:rPr>
          <w:rFonts w:ascii="Times New Roman" w:hAnsi="Times New Roman" w:cs="Times New Roman"/>
        </w:rPr>
      </w:pPr>
      <w:r w:rsidRPr="00817B7E">
        <w:rPr>
          <w:rFonts w:ascii="Times New Roman" w:hAnsi="Times New Roman" w:cs="Times New Roman"/>
        </w:rPr>
        <w:t xml:space="preserve">The evolving threat landscape demands a multilayered security strategy, emphasizing early detection, rapid response, and resilience. Organizations must remain proactive, continuously adapting their security posture based on the latest threat intelligence and best practices. Sharing threat intelligence and promoting security awareness are paramount in fortifying </w:t>
      </w:r>
      <w:r w:rsidRPr="00817B7E">
        <w:rPr>
          <w:rFonts w:ascii="Times New Roman" w:hAnsi="Times New Roman" w:cs="Times New Roman"/>
        </w:rPr>
        <w:t>defences</w:t>
      </w:r>
      <w:r w:rsidRPr="00817B7E">
        <w:rPr>
          <w:rFonts w:ascii="Times New Roman" w:hAnsi="Times New Roman" w:cs="Times New Roman"/>
        </w:rPr>
        <w:t xml:space="preserve"> against the sophisticated strategies deployed by APT groups.</w:t>
      </w:r>
    </w:p>
    <w:p w14:paraId="274182D2" w14:textId="77777777" w:rsidR="00817B7E" w:rsidRPr="00817B7E" w:rsidRDefault="00817B7E" w:rsidP="00817B7E">
      <w:pPr>
        <w:spacing w:line="240" w:lineRule="auto"/>
        <w:rPr>
          <w:rFonts w:ascii="Times New Roman" w:hAnsi="Times New Roman" w:cs="Times New Roman"/>
        </w:rPr>
      </w:pPr>
    </w:p>
    <w:p w14:paraId="1EC2F87D" w14:textId="72B868F1" w:rsidR="00D768C8" w:rsidRPr="00817B7E" w:rsidRDefault="00817B7E" w:rsidP="00817B7E">
      <w:pPr>
        <w:spacing w:line="240" w:lineRule="auto"/>
        <w:rPr>
          <w:rFonts w:ascii="Times New Roman" w:hAnsi="Times New Roman" w:cs="Times New Roman"/>
        </w:rPr>
      </w:pPr>
      <w:r w:rsidRPr="00817B7E">
        <w:rPr>
          <w:rFonts w:ascii="Times New Roman" w:hAnsi="Times New Roman" w:cs="Times New Roman"/>
        </w:rPr>
        <w:t xml:space="preserve">Understanding the complex tactics of attackers enables the development of more nuanced and effective </w:t>
      </w:r>
      <w:r w:rsidRPr="00817B7E">
        <w:rPr>
          <w:rFonts w:ascii="Times New Roman" w:hAnsi="Times New Roman" w:cs="Times New Roman"/>
        </w:rPr>
        <w:t>defence</w:t>
      </w:r>
      <w:r w:rsidRPr="00817B7E">
        <w:rPr>
          <w:rFonts w:ascii="Times New Roman" w:hAnsi="Times New Roman" w:cs="Times New Roman"/>
        </w:rPr>
        <w:t xml:space="preserve"> mechanisms. By diligently applying the lessons learned from these reports, organizations can enhance their security measures, reduce their vulnerability to attacks, and better protect their critical assets from the advanced threats posed by APT groups.</w:t>
      </w:r>
    </w:p>
    <w:sectPr w:rsidR="00D768C8" w:rsidRPr="00817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7E"/>
    <w:rsid w:val="0066761B"/>
    <w:rsid w:val="00817B7E"/>
    <w:rsid w:val="00D768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6108"/>
  <w15:chartTrackingRefBased/>
  <w15:docId w15:val="{486E54AC-2BEF-4119-901F-36484861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B7E"/>
    <w:rPr>
      <w:rFonts w:eastAsiaTheme="majorEastAsia" w:cstheme="majorBidi"/>
      <w:color w:val="272727" w:themeColor="text1" w:themeTint="D8"/>
    </w:rPr>
  </w:style>
  <w:style w:type="paragraph" w:styleId="Title">
    <w:name w:val="Title"/>
    <w:basedOn w:val="Normal"/>
    <w:next w:val="Normal"/>
    <w:link w:val="TitleChar"/>
    <w:uiPriority w:val="10"/>
    <w:qFormat/>
    <w:rsid w:val="00817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B7E"/>
    <w:pPr>
      <w:spacing w:before="160"/>
      <w:jc w:val="center"/>
    </w:pPr>
    <w:rPr>
      <w:i/>
      <w:iCs/>
      <w:color w:val="404040" w:themeColor="text1" w:themeTint="BF"/>
    </w:rPr>
  </w:style>
  <w:style w:type="character" w:customStyle="1" w:styleId="QuoteChar">
    <w:name w:val="Quote Char"/>
    <w:basedOn w:val="DefaultParagraphFont"/>
    <w:link w:val="Quote"/>
    <w:uiPriority w:val="29"/>
    <w:rsid w:val="00817B7E"/>
    <w:rPr>
      <w:i/>
      <w:iCs/>
      <w:color w:val="404040" w:themeColor="text1" w:themeTint="BF"/>
    </w:rPr>
  </w:style>
  <w:style w:type="paragraph" w:styleId="ListParagraph">
    <w:name w:val="List Paragraph"/>
    <w:basedOn w:val="Normal"/>
    <w:uiPriority w:val="34"/>
    <w:qFormat/>
    <w:rsid w:val="00817B7E"/>
    <w:pPr>
      <w:ind w:left="720"/>
      <w:contextualSpacing/>
    </w:pPr>
  </w:style>
  <w:style w:type="character" w:styleId="IntenseEmphasis">
    <w:name w:val="Intense Emphasis"/>
    <w:basedOn w:val="DefaultParagraphFont"/>
    <w:uiPriority w:val="21"/>
    <w:qFormat/>
    <w:rsid w:val="00817B7E"/>
    <w:rPr>
      <w:i/>
      <w:iCs/>
      <w:color w:val="0F4761" w:themeColor="accent1" w:themeShade="BF"/>
    </w:rPr>
  </w:style>
  <w:style w:type="paragraph" w:styleId="IntenseQuote">
    <w:name w:val="Intense Quote"/>
    <w:basedOn w:val="Normal"/>
    <w:next w:val="Normal"/>
    <w:link w:val="IntenseQuoteChar"/>
    <w:uiPriority w:val="30"/>
    <w:qFormat/>
    <w:rsid w:val="00817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B7E"/>
    <w:rPr>
      <w:i/>
      <w:iCs/>
      <w:color w:val="0F4761" w:themeColor="accent1" w:themeShade="BF"/>
    </w:rPr>
  </w:style>
  <w:style w:type="character" w:styleId="IntenseReference">
    <w:name w:val="Intense Reference"/>
    <w:basedOn w:val="DefaultParagraphFont"/>
    <w:uiPriority w:val="32"/>
    <w:qFormat/>
    <w:rsid w:val="00817B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52308">
      <w:bodyDiv w:val="1"/>
      <w:marLeft w:val="0"/>
      <w:marRight w:val="0"/>
      <w:marTop w:val="0"/>
      <w:marBottom w:val="0"/>
      <w:divBdr>
        <w:top w:val="none" w:sz="0" w:space="0" w:color="auto"/>
        <w:left w:val="none" w:sz="0" w:space="0" w:color="auto"/>
        <w:bottom w:val="none" w:sz="0" w:space="0" w:color="auto"/>
        <w:right w:val="none" w:sz="0" w:space="0" w:color="auto"/>
      </w:divBdr>
    </w:div>
    <w:div w:id="12006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508123D618981F43876D6B17AEEB9595" ma:contentTypeVersion="5" ma:contentTypeDescription="建立新的文件。" ma:contentTypeScope="" ma:versionID="2bd9f16699242f5892625546b41c1650">
  <xsd:schema xmlns:xsd="http://www.w3.org/2001/XMLSchema" xmlns:xs="http://www.w3.org/2001/XMLSchema" xmlns:p="http://schemas.microsoft.com/office/2006/metadata/properties" xmlns:ns3="074d595a-891a-4821-9a1e-45b4be8025e6" targetNamespace="http://schemas.microsoft.com/office/2006/metadata/properties" ma:root="true" ma:fieldsID="f832e5f618e5e267689eadc97afbaba4" ns3:_="">
    <xsd:import namespace="074d595a-891a-4821-9a1e-45b4be8025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d595a-891a-4821-9a1e-45b4be802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E3C10D-4EE5-48B2-9A3D-1C10650CB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d595a-891a-4821-9a1e-45b4be802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37CA7E-6237-4921-990C-03563899CF95}">
  <ds:schemaRefs>
    <ds:schemaRef ds:uri="http://schemas.microsoft.com/sharepoint/v3/contenttype/forms"/>
  </ds:schemaRefs>
</ds:datastoreItem>
</file>

<file path=customXml/itemProps3.xml><?xml version="1.0" encoding="utf-8"?>
<ds:datastoreItem xmlns:ds="http://schemas.openxmlformats.org/officeDocument/2006/customXml" ds:itemID="{41D03D0B-5BCC-42F8-BA91-6ACD63A5BDAE}">
  <ds:schemaRef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074d595a-891a-4821-9a1e-45b4be8025e6"/>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B093040056</dc:creator>
  <cp:keywords/>
  <dc:description/>
  <cp:lastModifiedBy>B093040056</cp:lastModifiedBy>
  <cp:revision>2</cp:revision>
  <dcterms:created xsi:type="dcterms:W3CDTF">2024-03-04T11:11:00Z</dcterms:created>
  <dcterms:modified xsi:type="dcterms:W3CDTF">2024-03-04T11:11:00Z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0x010100508123D618981F43876D6B17AEEB9595</vt:lpwstr>
  </property>
</Properties>
</file>