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The Green Trade Trilemma</w:t>
      </w:r>
    </w:p>
    <w:p>
      <w:pPr>
        <w:jc w:val="center"/>
      </w:pPr>
      <w:r>
        <w:rPr>
          <w:rFonts w:ascii="Times New Roman" w:hAnsi="Times New Roman"/>
          <w:i/>
          <w:sz w:val="28"/>
        </w:rPr>
        <w:t>Climate Ambition, Supply Chain Security, and Development Equity</w:t>
      </w:r>
    </w:p>
    <w:p/>
    <w:p>
      <w:pPr>
        <w:jc w:val="center"/>
      </w:pPr>
      <w:r>
        <w:rPr>
          <w:rFonts w:ascii="Times New Roman" w:hAnsi="Times New Roman"/>
          <w:sz w:val="28"/>
        </w:rPr>
        <w:t>Ning Li</w:t>
      </w:r>
    </w:p>
    <w:p>
      <w:pPr>
        <w:jc w:val="center"/>
      </w:pPr>
      <w:r>
        <w:rPr>
          <w:rFonts w:ascii="Times New Roman" w:hAnsi="Times New Roman"/>
          <w:sz w:val="22"/>
        </w:rPr>
        <w:t>Guangdong Peizheng College, Guangzhou 510830, Guangdong, China</w:t>
      </w:r>
    </w:p>
    <w:p/>
    <w:p>
      <w:pPr>
        <w:jc w:val="center"/>
      </w:pPr>
      <w:r>
        <w:rPr>
          <w:rFonts w:ascii="Times New Roman" w:hAnsi="Times New Roman"/>
          <w:sz w:val="22"/>
        </w:rPr>
        <w:t>Draft: June 04, 2026</w:t>
      </w:r>
    </w:p>
    <w:p/>
    <w:p>
      <w:pPr>
        <w:jc w:val="center"/>
      </w:pPr>
      <w:r>
        <w:rPr>
          <w:rFonts w:ascii="Times New Roman" w:hAnsi="Times New Roman"/>
          <w:i/>
          <w:sz w:val="22"/>
        </w:rPr>
        <w:t>Prepared for submission to Nature</w:t>
      </w:r>
    </w:p>
    <w:p>
      <w:r>
        <w:br w:type="page"/>
      </w:r>
    </w:p>
    <w:p>
      <w:pPr>
        <w:pStyle w:val="Heading1"/>
      </w:pPr>
      <w:r>
        <w:rPr>
          <w:rFonts w:ascii="Times New Roman" w:hAnsi="Times New Roman"/>
          <w:rFonts w:eastAsia="黑体"/>
        </w:rPr>
        <w:t>Abstract</w:t>
      </w:r>
    </w:p>
    <w:p>
      <w:pPr>
        <w:spacing w:line="480" w:lineRule="auto"/>
        <w:ind w:firstLine="420"/>
      </w:pPr>
      <w:r>
        <w:rPr>
          <w:rFonts w:ascii="Times New Roman" w:hAnsi="Times New Roman"/>
          <w:b w:val="0"/>
          <w:i w:val="0"/>
          <w:sz w:val="22"/>
          <w:rFonts w:eastAsia="宋体"/>
        </w:rPr>
        <w:t>The global low-carbon transition depends on a single country. China now produces 85% of the world's solar cells, more than 60% of wind turbines, and over 75% of lithium-ion batteries. This concentration creates a tension that no existing framework adequately captures: countries cannot simultaneously maximize the speed of decarbonization, the security of their clean-energy supply chains, and the equitable participation of developing economies in the green economy. Here we formalize this 'green trade trilemma' and quantify its welfare consequences. Using a new dataset covering 189 countries and 212 low-carbon technology products from 2015 to 2025, we construct a trilemma index and document a systematic trade-off: nations that decarbonize fastest rely most heavily on concentrated clean-tech imports, while developing countries remain almost entirely excluded—over 90% of low-carbon technology trade occurs between high-income countries and China. We then estimate the causal effects of de-risking policies using a difference-in-differences framework and show that these policies, while modestly improving supply chain diversity, raise clean-energy deployment costs by 18–27% and widen the green divide between rich and poor nations. A structural general equilibrium model, calibrated to match key trade and technology elasticities, evaluates six counterfactual scenarios. The results point to a policy configuration—a coordinated climate club with technology transfer and concessional finance—that can achieve decarbonization at roughly 85% of the speed of the unconstrained optimum while cutting supply chain concentration by half and doubling developing-country participation. The green trade trilemma is real and quantitatively large; it is not, however, insurmountable.</w:t>
      </w:r>
    </w:p>
    <w:p>
      <w:r>
        <w:br w:type="page"/>
      </w:r>
    </w:p>
    <w:p>
      <w:pPr>
        <w:pStyle w:val="Heading1"/>
      </w:pPr>
      <w:r>
        <w:rPr>
          <w:rFonts w:ascii="Times New Roman" w:hAnsi="Times New Roman"/>
          <w:rFonts w:eastAsia="黑体"/>
        </w:rPr>
        <w:t>Main Text</w:t>
      </w:r>
    </w:p>
    <w:p>
      <w:pPr>
        <w:spacing w:line="480" w:lineRule="auto"/>
        <w:ind w:firstLine="420"/>
      </w:pPr>
      <w:r>
        <w:rPr>
          <w:rFonts w:ascii="Times New Roman" w:hAnsi="Times New Roman"/>
          <w:b w:val="0"/>
          <w:i w:val="0"/>
          <w:sz w:val="24"/>
          <w:rFonts w:eastAsia="宋体"/>
        </w:rPr>
        <w:t>In 2023, the world installed 447 gigawatts of new solar capacity. One country—China—manufactured 85% of the photovoltaic modules deployed in that installation wave, processed 90% of the polysilicon that went into them, and supplied 75% of the inverters and mounting systems that connected them to grids across six continents[1,2]. No other industrial input in modern economic history—not oil in the twentieth century, not semiconductors in the 1990s, not rare earth elements at any point—has been as geographically concentrated as low-carbon technology manufacturing is today.</w:t>
      </w:r>
    </w:p>
    <w:p>
      <w:pPr>
        <w:spacing w:line="480" w:lineRule="auto"/>
        <w:ind w:firstLine="420"/>
      </w:pPr>
      <w:r>
        <w:rPr>
          <w:rFonts w:ascii="Times New Roman" w:hAnsi="Times New Roman"/>
          <w:b w:val="0"/>
          <w:i w:val="0"/>
          <w:sz w:val="24"/>
          <w:rFonts w:eastAsia="宋体"/>
        </w:rPr>
        <w:t>This concentration matters for three reasons. First, it creates a choke point in the global energy transition: a disruption at any node in China's clean-tech supply chain—a factory lockdown, an export control, a shipping bottleneck—propagates to solar farms in Spain, wind parks in Brazil, and battery plants in Michigan within weeks[3]. Second, it generates a new dimension of geopolitical vulnerability at precisely the moment when major economies are committing trillions of dollars to decarbonization[4]. Third, and least appreciated, it excludes the countries that need low-carbon technology most: sub-Saharan Africa, home to 60% of the world's best solar resources, accounts for less than 1% of global solar deployment and an even smaller share of clean-tech trade[5].</w:t>
      </w:r>
    </w:p>
    <w:p>
      <w:pPr>
        <w:spacing w:line="480" w:lineRule="auto"/>
        <w:ind w:firstLine="420"/>
      </w:pPr>
      <w:r>
        <w:rPr>
          <w:rFonts w:ascii="Times New Roman" w:hAnsi="Times New Roman"/>
          <w:b w:val="0"/>
          <w:i w:val="0"/>
          <w:sz w:val="24"/>
          <w:rFonts w:eastAsia="宋体"/>
        </w:rPr>
        <w:t>These three concerns—speed, security, and equity—do not pull in the same direction. A country that maximizes decarbonization speed buys the cheapest and most advanced clean technology available, which today means Chinese manufacturing. A country that prioritizes supply chain security diversifies its import sources, accepting higher costs and slower deployment. A global system that delivers equitable access to clean technology requires large-scale technology transfer and concessional finance—resources that, in the short run, compete with the investments needed to sustain rapid decarbonization in advanced economies. We call this tension the green trade trilemma, and we argue that it constitutes the central unresolved challenge of the post-Paris climate regime.</w:t>
      </w:r>
    </w:p>
    <w:p>
      <w:pPr>
        <w:spacing w:line="480" w:lineRule="auto"/>
        <w:ind w:firstLine="420"/>
      </w:pPr>
      <w:r>
        <w:rPr>
          <w:rFonts w:ascii="Times New Roman" w:hAnsi="Times New Roman"/>
          <w:b w:val="0"/>
          <w:i w:val="0"/>
          <w:sz w:val="24"/>
          <w:rFonts w:eastAsia="宋体"/>
        </w:rPr>
        <w:t>This paper does four things. First, it constructs the first comprehensive database of global low-carbon technology trade covering 212 products across 189 countries over the period 2015–2025, and uses it to measure the trilemma empirically. Second, it estimates the causal effects of de-risking policies—tariffs, local-content requirements, and import restrictions on clean-tech products—on deployment costs, trade patterns, and developing-country access. Third, it develops a structural general equilibrium model of the global green technology market that incorporates learning-by-doing, supply chain network effects, and heterogeneous policy preferences across countries. Fourth, it evaluates six counterfactual policy regimes and identifies the configuration that best navigates the trilemma.</w:t>
      </w:r>
    </w:p>
    <w:p>
      <w:pPr>
        <w:pStyle w:val="Heading2"/>
      </w:pPr>
      <w:r>
        <w:rPr>
          <w:rFonts w:ascii="Times New Roman" w:hAnsi="Times New Roman"/>
          <w:rFonts w:eastAsia="黑体"/>
        </w:rPr>
        <w:t>The trilemma is visible in trade data</w:t>
      </w:r>
    </w:p>
    <w:p>
      <w:pPr>
        <w:spacing w:line="480" w:lineRule="auto"/>
        <w:ind w:firstLine="420"/>
      </w:pPr>
      <w:r>
        <w:rPr>
          <w:rFonts w:ascii="Times New Roman" w:hAnsi="Times New Roman"/>
          <w:b w:val="0"/>
          <w:i w:val="0"/>
          <w:sz w:val="24"/>
          <w:rFonts w:eastAsia="宋体"/>
        </w:rPr>
        <w:t>We begin by constructing three country-level indices that capture the three poles of the trilemma. The Green Speed Index (GSI) measures the annual rate of low-carbon technology deployment relative to a country's 2015 baseline. The Green Diversity Index (GDI) captures the dispersion of low-carbon technology import sources, defined as one minus the Herfindahl-Hirschman Index of import concentration. The Green Equity Index (GEI) measures developing countries' share in global low-carbon technology exports, capturing the extent to which the benefits of green manufacturing extend beyond a narrow set of producers.</w:t>
      </w:r>
    </w:p>
    <w:p>
      <w:pPr>
        <w:spacing w:line="480" w:lineRule="auto"/>
        <w:ind w:firstLine="420"/>
      </w:pPr>
      <w:r>
        <w:rPr>
          <w:rFonts w:ascii="Times New Roman" w:hAnsi="Times New Roman"/>
          <w:b w:val="0"/>
          <w:i w:val="0"/>
          <w:sz w:val="24"/>
          <w:rFonts w:eastAsia="宋体"/>
        </w:rPr>
        <w:t>Figure 1 plots all 189 countries in a two-dimensional projection of this three-dimensional space for 2025. Three clusters are immediately apparent. A 'speed-first' cluster—including most EU member states, Japan, Australia, and the United States—sits near the high-GSI, low-GDI corner, reflecting rapid deployment financed by concentrated imports. A 'security-first' cluster—India, Brazil, Turkey, and several Southeast Asian economies—occupies an intermediate region where deployment is slower but import sources are more diversified, partly through domestic manufacturing policies. A third cluster—comprising most of sub-Saharan Africa, parts of South Asia, and several small-island developing states—lies near the origin across all three dimensions, representing countries that are neither deploying clean technology rapidly, nor diversifying their supply sources, nor participating in green manufacturing. China itself occupies a unique position: extremely high GSI (driven by domestic deployment), moderate GDI (it imports relatively little clean tech), and, by definition, low GEI (it is the dominant exporter, so developing countries' export share is small by construction).</w:t>
      </w:r>
    </w:p>
    <w:p>
      <w:pPr>
        <w:spacing w:line="480" w:lineRule="auto"/>
        <w:ind w:firstLine="420"/>
      </w:pPr>
      <w:r>
        <w:rPr>
          <w:rFonts w:ascii="Times New Roman" w:hAnsi="Times New Roman"/>
          <w:b w:val="0"/>
          <w:i w:val="0"/>
          <w:sz w:val="24"/>
          <w:rFonts w:eastAsia="宋体"/>
        </w:rPr>
        <w:t>The trilemma index, computed as the normalized product GSI × GDI × GEI, averages 0.23 across countries (range: 0.02–0.61, where 1.0 would represent simultaneous maximization of all three goals). No country scores above 0.61. The correlation matrix confirms the trade-off structure: GSI and GDI are negatively correlated (r = −0.41, P &lt; 0.001), as are GSI and GEI (r = −0.29, P &lt; 0.01), while GDI and GEI show a modest positive association (r = 0.18, P &lt; 0.05), consistent with the idea that diversified supply chains create more entry points for developing-country producers.</w:t>
      </w:r>
    </w:p>
    <w:p>
      <w:pPr>
        <w:spacing w:line="480" w:lineRule="auto"/>
        <w:ind w:firstLine="420"/>
      </w:pPr>
      <w:r>
        <w:rPr>
          <w:rFonts w:ascii="Times New Roman" w:hAnsi="Times New Roman"/>
          <w:b w:val="0"/>
          <w:i w:val="0"/>
          <w:sz w:val="24"/>
          <w:rFonts w:eastAsia="宋体"/>
        </w:rPr>
        <w:t>The temporal evolution sharpens the picture. Between 2015 and 2025, the global average GSI rose by 64%, reflecting the post-Paris acceleration in clean-energy investment. Over the same period, GDI fell by 18% globally—meaning import sources became more, not less, concentrated—driven by China's rapid expansion of manufacturing capacity and the inability of other producers to match its scale and cost. The GEI barely moved, hovering around 0.12–0.14 throughout the decade. In short, the world got faster at deploying clean technology at the cost of deeper dependence on a single supplier, with developing countries remaining spectators to the green manufacturing boom.</w:t>
      </w:r>
    </w:p>
    <w:p>
      <w:pPr>
        <w:pStyle w:val="Heading2"/>
      </w:pPr>
      <w:r>
        <w:rPr>
          <w:rFonts w:ascii="Times New Roman" w:hAnsi="Times New Roman"/>
          <w:rFonts w:eastAsia="黑体"/>
        </w:rPr>
        <w:t>De-risking raises costs and widens the green divide</w:t>
      </w:r>
    </w:p>
    <w:p>
      <w:pPr>
        <w:spacing w:line="480" w:lineRule="auto"/>
        <w:ind w:firstLine="420"/>
      </w:pPr>
      <w:r>
        <w:rPr>
          <w:rFonts w:ascii="Times New Roman" w:hAnsi="Times New Roman"/>
          <w:b w:val="0"/>
          <w:i w:val="0"/>
          <w:sz w:val="24"/>
          <w:rFonts w:eastAsia="宋体"/>
        </w:rPr>
        <w:t>To estimate how de-risking policies affect the three trilemma dimensions, we exploit the staggered introduction of clean-tech trade restrictions across countries between 2020 and 2024. Our policy inventory identifies 47 distinct de-risking events across 31 countries, including the U.S. Inflation Reduction Act's local-content provisions (2022), the EU's Net-Zero Industry Act (2024), India's Production-Linked Incentive scheme for solar manufacturing (2021), and anti-dumping duties on Chinese solar products imposed by the United States (2021, 2023), the EU (2023), and Turkey (2020). We code each event by its intensity—a composite of tariff-equivalent protection, local-content requirements, and the breadth of products covered—and estimate a two-way fixed-effects difference-in-differences specification:</w:t>
      </w:r>
    </w:p>
    <w:p>
      <w:pPr>
        <w:spacing w:line="480" w:lineRule="auto"/>
      </w:pPr>
      <w:r>
        <w:rPr>
          <w:rFonts w:ascii="Times New Roman" w:hAnsi="Times New Roman"/>
          <w:b w:val="0"/>
          <w:i/>
          <w:sz w:val="22"/>
          <w:rFonts w:eastAsia="宋体"/>
        </w:rPr>
        <w:t>Y_{it} = α + β · DeRisk_{it} + γ · X_{it} + μ_i + λ_t + ε_{it}</w:t>
      </w:r>
    </w:p>
    <w:p>
      <w:pPr>
        <w:spacing w:line="480" w:lineRule="auto"/>
        <w:ind w:firstLine="420"/>
      </w:pPr>
      <w:r>
        <w:rPr>
          <w:rFonts w:ascii="Times New Roman" w:hAnsi="Times New Roman"/>
          <w:b w:val="0"/>
          <w:i w:val="0"/>
          <w:sz w:val="24"/>
          <w:rFonts w:eastAsia="宋体"/>
        </w:rPr>
        <w:t>where Y_{it} is the outcome (deployment cost, GDI, or developing-country import share) for country i in year t, DeRisk_{it} is the policy intensity index, X_{it} is a vector of time-varying controls (GDP per capita, manufacturing share, renewable resource endowment), and μ_i and λ_t are country and year fixed effects.</w:t>
      </w:r>
    </w:p>
    <w:p>
      <w:pPr>
        <w:spacing w:line="480" w:lineRule="auto"/>
        <w:ind w:firstLine="420"/>
      </w:pPr>
      <w:r>
        <w:rPr>
          <w:rFonts w:ascii="Times New Roman" w:hAnsi="Times New Roman"/>
          <w:b w:val="0"/>
          <w:i w:val="0"/>
          <w:sz w:val="24"/>
          <w:rFonts w:eastAsia="宋体"/>
        </w:rPr>
        <w:t>The results are striking and consistent across specifications (Supplementary Tables 3–7). A one-standard-deviation increase in de-risking intensity raises a country's average clean-technology import price by 18–27% (β = 0.23, s.e. = 0.04, P &lt; 0.001, 95% CI [0.15, 0.31]). The effect is largest for solar photovoltaic products (31% price increase) and smallest for wind turbine components (12%), reflecting the relative feasibility of non-Chinese sourcing in these product categories. Critically, the price effect does not diminish over the first three years following policy implementation—firms do not quickly find cheaper alternatives—suggesting that the manufacturing cost gap between China and potential competitors is structural rather than cyclical.</w:t>
      </w:r>
    </w:p>
    <w:p>
      <w:pPr>
        <w:spacing w:line="480" w:lineRule="auto"/>
        <w:ind w:firstLine="420"/>
      </w:pPr>
      <w:r>
        <w:rPr>
          <w:rFonts w:ascii="Times New Roman" w:hAnsi="Times New Roman"/>
          <w:b w:val="0"/>
          <w:i w:val="0"/>
          <w:sz w:val="24"/>
          <w:rFonts w:eastAsia="宋体"/>
        </w:rPr>
        <w:t>De-risking does achieve its stated goal of diversifying supply sources: GDI rises by 0.08–0.14 points (on a 0–1 scale) in treated countries relative to controls (β = 0.11, s.e. = 0.03, P &lt; 0.01). However, this diversification benefit is modest in absolute terms. Even after three years of the most aggressive de-risking policies observed in our sample, no treated country achieves a GDI above 0.55, compared to a theoretical maximum of 1.0 under perfect diversification.</w:t>
      </w:r>
    </w:p>
    <w:p>
      <w:pPr>
        <w:spacing w:line="480" w:lineRule="auto"/>
        <w:ind w:firstLine="420"/>
      </w:pPr>
      <w:r>
        <w:rPr>
          <w:rFonts w:ascii="Times New Roman" w:hAnsi="Times New Roman"/>
          <w:b w:val="0"/>
          <w:i w:val="0"/>
          <w:sz w:val="24"/>
          <w:rFonts w:eastAsia="宋体"/>
        </w:rPr>
        <w:t>The most troubling finding concerns developing-country access. De-risking policies in high-income countries reduce low-carbon technology imports from developing-country exporters by 14–22% (β = −0.18, s.e. = 0.05, P &lt; 0.001). This 'green divide' effect operates through two channels. First, when rich countries switch from Chinese to domestic or near-shore suppliers, they bypass the smaller developing-country producers that might have entered the market as second-tier suppliers. Second, the policy-induced increase in global clean-tech prices raises the financing burden for developing countries, many of which already face capital costs 3–7 times higher than those in OECD economies[6].</w:t>
      </w:r>
    </w:p>
    <w:p>
      <w:pPr>
        <w:spacing w:line="480" w:lineRule="auto"/>
        <w:ind w:firstLine="420"/>
      </w:pPr>
      <w:r>
        <w:rPr>
          <w:rFonts w:ascii="Times New Roman" w:hAnsi="Times New Roman"/>
          <w:b w:val="0"/>
          <w:i w:val="0"/>
          <w:sz w:val="24"/>
          <w:rFonts w:eastAsia="宋体"/>
        </w:rPr>
        <w:t>We subject these findings to an extensive battery of robustness checks. Results are insensitive to alternative de-risking intensity weights, the exclusion of any single country or policy event, alternative definitions of the low-carbon product basket, and the use of synthetic control methods rather than two-way fixed effects (Extended Data Figures 1–8). A set of placebo tests—randomly reassigning policy years to untreated countries—yields null results, as expected under no confounding (Extended Data Figure 9).</w:t>
      </w:r>
    </w:p>
    <w:p>
      <w:pPr>
        <w:pStyle w:val="Heading2"/>
      </w:pPr>
      <w:r>
        <w:rPr>
          <w:rFonts w:ascii="Times New Roman" w:hAnsi="Times New Roman"/>
          <w:rFonts w:eastAsia="黑体"/>
        </w:rPr>
        <w:t>A structural model of the green technology market</w:t>
      </w:r>
    </w:p>
    <w:p>
      <w:pPr>
        <w:spacing w:line="480" w:lineRule="auto"/>
        <w:ind w:firstLine="420"/>
      </w:pPr>
      <w:r>
        <w:rPr>
          <w:rFonts w:ascii="Times New Roman" w:hAnsi="Times New Roman"/>
          <w:b w:val="0"/>
          <w:i w:val="0"/>
          <w:sz w:val="24"/>
          <w:rFonts w:eastAsia="宋体"/>
        </w:rPr>
        <w:t>The reduced-form evidence establishes that de-risking involves trade-offs, but it cannot tell us what the optimal policy configuration looks like. For that we need a structural model that can simulate counterfactual regimes while respecting the technological constraints—learning curves, supply chain networks, and capital market imperfections—that shape the green technology market. We develop such a model here.</w:t>
      </w:r>
    </w:p>
    <w:p>
      <w:pPr>
        <w:spacing w:line="480" w:lineRule="auto"/>
        <w:ind w:firstLine="420"/>
      </w:pPr>
      <w:r>
        <w:rPr>
          <w:rFonts w:ascii="Times New Roman" w:hAnsi="Times New Roman"/>
          <w:b w:val="0"/>
          <w:i w:val="0"/>
          <w:sz w:val="24"/>
          <w:rFonts w:eastAsia="宋体"/>
        </w:rPr>
        <w:t>The model has three building blocks. The production side features N countries, each with a representative clean-tech manufacturing sector characterized by learning-by-doing: unit costs fall with cumulative production according to c_i(t) = c_i(0) · (Q_i(t)/Q_i(0))^{−λ}, where λ is the learning rate estimated from historical solar module and battery price data (λ ≈ 0.20 for solar, λ ≈ 0.18 for batteries)[7]. Trade between countries is subject to iceberg costs that depend on both physical distance and policy barriers, including tariffs and local-content requirements. The demand side consists of countries that derive utility from clean energy deployment, subject to budget constraints and political preferences over supply security, captured by a 'security weight' ψ_i that penalizes import concentration in the government's objective function.</w:t>
      </w:r>
    </w:p>
    <w:p>
      <w:pPr>
        <w:spacing w:line="480" w:lineRule="auto"/>
        <w:ind w:firstLine="420"/>
      </w:pPr>
      <w:r>
        <w:rPr>
          <w:rFonts w:ascii="Times New Roman" w:hAnsi="Times New Roman"/>
          <w:b w:val="0"/>
          <w:i w:val="0"/>
          <w:sz w:val="24"/>
          <w:rFonts w:eastAsia="宋体"/>
        </w:rPr>
        <w:t>The key structural parameters—the trade elasticity θ, the learning rate λ, and the security weight ψ—are estimated using three independent sources of variation. The trade elasticity is identified from the cross-sectional relationship between clean-tech trade flows and tariff variation in the pre-de-risking period (2015–2019), yielding θ̂ = 4.2 (s.e. = 0.6), consistent with estimates from the broader trade literature[8]. The learning rate is identified from the panel relationship between cumulative installed capacity and module prices across countries and technologies, yielding λ̂ = 0.19 (s.e. = 0.03) for solar and λ̂ = 0.17 (s.e. = 0.04) for batteries. The security weight ψ_i for each country is backed out from its revealed policy choices—the de-risking intensity observed in the data—using the model's first-order conditions. The estimated ψ_i values range from 0.02 (Singapore) to 0.37 (United States), with a mean of 0.14, indicating that the average country is willing to sacrifice roughly 14% of the cost savings from concentrated sourcing to achieve a given reduction in supply risk.</w:t>
      </w:r>
    </w:p>
    <w:p>
      <w:pPr>
        <w:spacing w:line="480" w:lineRule="auto"/>
        <w:ind w:firstLine="420"/>
      </w:pPr>
      <w:r>
        <w:rPr>
          <w:rFonts w:ascii="Times New Roman" w:hAnsi="Times New Roman"/>
          <w:b w:val="0"/>
          <w:i w:val="0"/>
          <w:sz w:val="24"/>
          <w:rFonts w:eastAsia="宋体"/>
        </w:rPr>
        <w:t>We calibrate the model to match the 2023 trade matrix, production volumes, and deployment levels for four clean-technology groups: solar photovoltaic systems, wind turbines, lithium-ion batteries, and electrolyzers for green hydrogen. The model fits the data well: the correlation between predicted and actual bilateral trade flows is 0.87, and the model reproduces the cross-country distribution of deployment costs with a mean absolute percentage error of 9.4%.</w:t>
      </w:r>
    </w:p>
    <w:p>
      <w:pPr>
        <w:pStyle w:val="Heading2"/>
      </w:pPr>
      <w:r>
        <w:rPr>
          <w:rFonts w:ascii="Times New Roman" w:hAnsi="Times New Roman"/>
          <w:rFonts w:eastAsia="黑体"/>
        </w:rPr>
        <w:t>Counterfactual policy regimes</w:t>
      </w:r>
    </w:p>
    <w:p>
      <w:pPr>
        <w:spacing w:line="480" w:lineRule="auto"/>
        <w:ind w:firstLine="420"/>
      </w:pPr>
      <w:r>
        <w:rPr>
          <w:rFonts w:ascii="Times New Roman" w:hAnsi="Times New Roman"/>
          <w:b w:val="0"/>
          <w:i w:val="0"/>
          <w:sz w:val="24"/>
          <w:rFonts w:eastAsia="宋体"/>
        </w:rPr>
        <w:t>We simulate six counterfactual scenarios, each representing a distinct approach to managing the trilemma (see Methods for detailed specification of each scenario):</w:t>
      </w:r>
    </w:p>
    <w:p>
      <w:pPr>
        <w:spacing w:line="480" w:lineRule="auto"/>
        <w:ind w:firstLine="420"/>
      </w:pPr>
      <w:r>
        <w:rPr>
          <w:rFonts w:ascii="Times New Roman" w:hAnsi="Times New Roman"/>
          <w:b w:val="0"/>
          <w:i w:val="0"/>
          <w:sz w:val="22"/>
          <w:rFonts w:eastAsia="宋体"/>
        </w:rPr>
        <w:t>Scenario 1—Business as Usual (BAU): current policy trends, including existing de-risking measures, continue through 2035.</w:t>
        <w:br/>
        <w:br/>
        <w:t>Scenario 2—Full Decoupling: high-income countries eliminate all clean-tech imports from China, substituting domestic or near-shore production.</w:t>
        <w:br/>
        <w:br/>
        <w:t>Scenario 3—CBAM Extension: a carbon border adjustment mechanism is applied to all traded goods at a uniform $100/ton CO₂-equivalent rate, with revenues retained by the importing country.</w:t>
        <w:br/>
        <w:br/>
        <w:t>Scenario 4—Climate Club (G7 + China): the G7 economies and China form a coordinated carbon pricing and green trade regime with zero tariffs on low-carbon technology and harmonized product standards, but no explicit technology transfer to non-members.</w:t>
        <w:br/>
        <w:br/>
        <w:t>Scenario 5—Inclusive Green Trade: the Climate Club is expanded to include all G20 members, complemented by a technology transfer fund (0.1% of member GDP) and concessional finance for low-income countries (interest rate subsidy of 300 basis points).</w:t>
        <w:br/>
        <w:br/>
        <w:t>Scenario 6—China Export Restriction: China restricts exports of key clean-tech components (polysilicon, battery-grade lithium, rare-earth magnets) in response to Western de-risking measures.</w:t>
      </w:r>
    </w:p>
    <w:p>
      <w:pPr>
        <w:spacing w:line="480" w:lineRule="auto"/>
        <w:ind w:firstLine="420"/>
      </w:pPr>
      <w:r>
        <w:rPr>
          <w:rFonts w:ascii="Times New Roman" w:hAnsi="Times New Roman"/>
          <w:b w:val="0"/>
          <w:i w:val="0"/>
          <w:sz w:val="24"/>
          <w:rFonts w:eastAsia="宋体"/>
        </w:rPr>
        <w:t>Figure 4 reports the welfare decomposition. The BAU trajectory delivers a global decarbonization speed of 100 (indexed to the current pace) but at the cost of declining GDI (−0.8 percentage points per year) and stagnant GEI. Full Decoupling (Scenario 2) improves GDI by 42% relative to BAU but reduces decarbonization speed by 34% and raises global average clean-energy costs by 31%. CBAM Extension (Scenario 3) slightly accelerates decarbonization (+4% relative to BAU) by internalizing the carbon externality, but worsens the green divide: developing-country clean-tech exports fall by 19% as their carbon-intensive manufacturing processes face de facto tariffs.</w:t>
      </w:r>
    </w:p>
    <w:p>
      <w:pPr>
        <w:spacing w:line="480" w:lineRule="auto"/>
        <w:ind w:firstLine="420"/>
      </w:pPr>
      <w:r>
        <w:rPr>
          <w:rFonts w:ascii="Times New Roman" w:hAnsi="Times New Roman"/>
          <w:b w:val="0"/>
          <w:i w:val="0"/>
          <w:sz w:val="24"/>
          <w:rFonts w:eastAsia="宋体"/>
        </w:rPr>
        <w:t>The Climate Club (Scenario 4) produces more balanced outcomes: decarbonization speed matches the BAU trajectory, GDI improves by 28%, and developing-country exports increase modestly (+8%) through indirect demand spillovers. However, the gains accrue disproportionately to club members, and non-member developing countries face higher clean-tech prices as manufacturing capacity concentrates within the club.</w:t>
      </w:r>
    </w:p>
    <w:p>
      <w:pPr>
        <w:spacing w:line="480" w:lineRule="auto"/>
        <w:ind w:firstLine="420"/>
      </w:pPr>
      <w:r>
        <w:rPr>
          <w:rFonts w:ascii="Times New Roman" w:hAnsi="Times New Roman"/>
          <w:b w:val="0"/>
          <w:i w:val="0"/>
          <w:sz w:val="24"/>
          <w:rFonts w:eastAsia="宋体"/>
        </w:rPr>
        <w:t>Scenario 5—Inclusive Green Trade—delivers the best overall performance across all three dimensions. Decarbonization speed reaches 85% of the unconstrained optimum (the rate achievable if cost minimization were the sole objective). GDI improves by 47% relative to BAU. Most notably, the developing-country share of global clean-tech exports rises from 12% to 24%, driven by the combination of technology transfer (which lowers entry barriers) and concessional finance (which enables capital-constrained countries to build manufacturing capacity).</w:t>
      </w:r>
    </w:p>
    <w:p>
      <w:pPr>
        <w:spacing w:line="480" w:lineRule="auto"/>
        <w:ind w:firstLine="420"/>
      </w:pPr>
      <w:r>
        <w:rPr>
          <w:rFonts w:ascii="Times New Roman" w:hAnsi="Times New Roman"/>
          <w:b w:val="0"/>
          <w:i w:val="0"/>
          <w:sz w:val="24"/>
          <w:rFonts w:eastAsia="宋体"/>
        </w:rPr>
        <w:t>The contrast between Scenario 5 and Scenario 6 is instructive. China's export restriction—a plausible response to Western de-risking—would reduce global decarbonization speed by 41%, the largest decline of any scenario, and increase costs across all countries. No country gains from this scenario; the losses to China (from foregone export revenue) nearly offset the geopolitical leverage gained. This result underscores a point that is sometimes lost in the de-risking discourse: China benefits substantially from its role as the world's clean-tech factory, and actions that jeopardize that role impose costs on all sides.</w:t>
      </w:r>
    </w:p>
    <w:p>
      <w:pPr>
        <w:pStyle w:val="Heading2"/>
      </w:pPr>
      <w:r>
        <w:rPr>
          <w:rFonts w:ascii="Times New Roman" w:hAnsi="Times New Roman"/>
          <w:rFonts w:eastAsia="黑体"/>
        </w:rPr>
        <w:t>Implications for policy</w:t>
      </w:r>
    </w:p>
    <w:p>
      <w:pPr>
        <w:spacing w:line="480" w:lineRule="auto"/>
        <w:ind w:firstLine="420"/>
      </w:pPr>
      <w:r>
        <w:rPr>
          <w:rFonts w:ascii="Times New Roman" w:hAnsi="Times New Roman"/>
          <w:b w:val="0"/>
          <w:i w:val="0"/>
          <w:sz w:val="24"/>
          <w:rFonts w:eastAsia="宋体"/>
        </w:rPr>
        <w:t>Three findings from this analysis carry direct implications for the international climate and trade policy agenda.</w:t>
      </w:r>
    </w:p>
    <w:p>
      <w:pPr>
        <w:spacing w:line="480" w:lineRule="auto"/>
        <w:ind w:firstLine="420"/>
      </w:pPr>
      <w:r>
        <w:rPr>
          <w:rFonts w:ascii="Times New Roman" w:hAnsi="Times New Roman"/>
          <w:b w:val="0"/>
          <w:i w:val="0"/>
          <w:sz w:val="24"/>
          <w:rFonts w:eastAsia="宋体"/>
        </w:rPr>
        <w:t>First, the green trade trilemma is not a theoretical curiosity. It is a measurable, quantitatively large constraint on the global low-carbon transition. Countries that ignore the trade-offs it implies—pursuing decarbonization, supply chain security, and development equity as if they were independent goals—will achieve less of each than they expect. Acknowledging the trilemma is the necessary first step toward designing policies that navigate it effectively.</w:t>
      </w:r>
    </w:p>
    <w:p>
      <w:pPr>
        <w:spacing w:line="480" w:lineRule="auto"/>
        <w:ind w:firstLine="420"/>
      </w:pPr>
      <w:r>
        <w:rPr>
          <w:rFonts w:ascii="Times New Roman" w:hAnsi="Times New Roman"/>
          <w:b w:val="0"/>
          <w:i w:val="0"/>
          <w:sz w:val="24"/>
          <w:rFonts w:eastAsia="宋体"/>
        </w:rPr>
        <w:t>Second, de-risking, as currently practiced, is a blunt instrument. It achieves modest diversification at a high cost in deployment speed and developing-country access. The reason is structural: manufacturing competitiveness in clean technology is driven by cumulative production experience, and China's two-decade head start—built on massive domestic deployment, patient capital from state banks, and integrated supply chains—cannot be replicated quickly, even with large subsidies[9]. Policy should therefore distinguish between genuine supply chain vulnerabilities (a small set of chokepoints where alternatives are genuinely infeasible in the near term) and broader import dependence that is more efficiently managed through stockpiling, diversification of supplier countries (not just firms), and international coordination.</w:t>
      </w:r>
    </w:p>
    <w:p>
      <w:pPr>
        <w:spacing w:line="480" w:lineRule="auto"/>
        <w:ind w:firstLine="420"/>
      </w:pPr>
      <w:r>
        <w:rPr>
          <w:rFonts w:ascii="Times New Roman" w:hAnsi="Times New Roman"/>
          <w:b w:val="0"/>
          <w:i w:val="0"/>
          <w:sz w:val="24"/>
          <w:rFonts w:eastAsia="宋体"/>
        </w:rPr>
        <w:t>Third, and most important, there exists a policy configuration—Inclusive Green Trade, approximating Scenario 5—that substantially improves on the current trajectory. The key ingredients are: a climate club large enough to internalize the terms-of-trade effects of green industrial policy; a technology transfer mechanism that enables developing countries to enter clean-tech value chains at the assembly stage, where learning begins; and concessional finance that narrows the cost-of-capital gap between rich and poor countries. None of these elements is new in isolation—climate clubs have been discussed since Nordhaus[10], technology transfer is embedded in the Paris Agreement (Article 10), and concessional finance is the raison d'être of the Green Climate Fund. What is new is the demonstration that these instruments, deployed together at sufficient scale, can materially relax the trilemma constraint.</w:t>
      </w:r>
    </w:p>
    <w:p>
      <w:pPr>
        <w:spacing w:line="480" w:lineRule="auto"/>
        <w:ind w:firstLine="420"/>
      </w:pPr>
      <w:r>
        <w:rPr>
          <w:rFonts w:ascii="Times New Roman" w:hAnsi="Times New Roman"/>
          <w:b w:val="0"/>
          <w:i w:val="0"/>
          <w:sz w:val="24"/>
          <w:rFonts w:eastAsia="宋体"/>
        </w:rPr>
        <w:t>The political economy obstacles are real. Technology transfer threatens the rents that accrue to first-mover firms; concessional finance requires fiscal resources that donor countries are reluctant to commit; and climate clubs invite free-riding and exclusion. But the costs of inaction—a slower, more expensive, and more unequal green transition—are larger, and they fall disproportionately on the countries least responsible for the climate problem and least equipped to adapt to it.</w:t>
      </w:r>
    </w:p>
    <w:p>
      <w:pPr>
        <w:spacing w:line="480" w:lineRule="auto"/>
        <w:ind w:firstLine="420"/>
      </w:pPr>
      <w:r>
        <w:rPr>
          <w:rFonts w:ascii="Times New Roman" w:hAnsi="Times New Roman"/>
          <w:b w:val="0"/>
          <w:i w:val="0"/>
          <w:sz w:val="24"/>
          <w:rFonts w:eastAsia="宋体"/>
        </w:rPr>
        <w:t>Several limitations of this study should be noted. Our analysis covers manufactured low-carbon technologies but does not include the services associated with their deployment (engineering, installation, maintenance), where developing countries may have stronger comparative advantage. The structural model abstracts from within-country heterogeneity in firm capabilities and political influence, both of which shape actual policy outcomes. And our counterfactual simulations, while grounded in estimated parameters, necessarily extrapolate beyond the range of historical experience. Future work should extend the framework to services trade, incorporate firm-level data on learning and entry, and explore the dynamic consequences of the trilemma under different technological and geopolitical trajectories.</w:t>
      </w:r>
    </w:p>
    <w:p>
      <w:pPr>
        <w:spacing w:line="480" w:lineRule="auto"/>
        <w:ind w:firstLine="420"/>
      </w:pPr>
      <w:r>
        <w:rPr>
          <w:rFonts w:ascii="Times New Roman" w:hAnsi="Times New Roman"/>
          <w:b w:val="0"/>
          <w:i w:val="0"/>
          <w:sz w:val="24"/>
          <w:rFonts w:eastAsia="宋体"/>
        </w:rPr>
        <w:t>The green transition is the largest reallocation of capital and labor since the industrial revolution. Getting the trade architecture right—aligning climate ambition with supply chain resilience and development equity—is not a secondary concern to be addressed once the technology is deployed. It is a first-order determinant of how fast, how securely, and how fairly that deployment occurs.</w:t>
      </w:r>
    </w:p>
    <w:p>
      <w:r>
        <w:br w:type="page"/>
      </w:r>
    </w:p>
    <w:p>
      <w:pPr>
        <w:pStyle w:val="Heading1"/>
      </w:pPr>
      <w:r>
        <w:rPr>
          <w:rFonts w:ascii="Times New Roman" w:hAnsi="Times New Roman"/>
          <w:rFonts w:eastAsia="黑体"/>
        </w:rPr>
        <w:t>Methods</w:t>
      </w:r>
    </w:p>
    <w:p>
      <w:pPr>
        <w:pStyle w:val="Heading2"/>
      </w:pPr>
      <w:r>
        <w:rPr>
          <w:rFonts w:ascii="Times New Roman" w:hAnsi="Times New Roman"/>
          <w:rFonts w:eastAsia="黑体"/>
        </w:rPr>
        <w:t>Data construction</w:t>
      </w:r>
    </w:p>
    <w:p>
      <w:pPr>
        <w:spacing w:line="480" w:lineRule="auto"/>
        <w:ind w:firstLine="420"/>
      </w:pPr>
      <w:r>
        <w:rPr>
          <w:rFonts w:ascii="Times New Roman" w:hAnsi="Times New Roman"/>
          <w:b w:val="0"/>
          <w:i w:val="0"/>
          <w:sz w:val="24"/>
          <w:rFonts w:eastAsia="宋体"/>
        </w:rPr>
        <w:t>Low-carbon technology trade database. We construct a comprehensive database of bilateral trade in low-carbon technology products at the HS 6-digit level covering 189 countries and economies for the period 2015–2025. The product classification builds on the OECD Combined List of Environmental Goods, the APEC Environmental Goods List, and the WTO Environmental Goods Agreement negotiating list, yielding 212 HS 6-digit codes across five technology groups: solar photovoltaic systems (48 codes), wind power equipment (31 codes), lithium-ion batteries and components (39 codes), hydrogen electrolyzers and fuel cells (27 codes), and enabling technologies including smart grid equipment, heat pumps, and energy management systems (67 codes). The full product list is provided in Supplementary Table 1.</w:t>
      </w:r>
    </w:p>
    <w:p>
      <w:pPr>
        <w:spacing w:line="480" w:lineRule="auto"/>
        <w:ind w:firstLine="420"/>
      </w:pPr>
      <w:r>
        <w:rPr>
          <w:rFonts w:ascii="Times New Roman" w:hAnsi="Times New Roman"/>
          <w:b w:val="0"/>
          <w:i w:val="0"/>
          <w:sz w:val="24"/>
          <w:rFonts w:eastAsia="宋体"/>
        </w:rPr>
        <w:t>Trade data are drawn from UN Comtrade (primary source), supplemented with Census Bureau data for U.S. imports at the HS 10-digit level for product categories where 6-digit codes are insufficiently granular. All trade values are converted to constant 2020 U.S. dollars using the U.S. Bureau of Labor Statistics import price deflator. Where reporting gaps exist—most commonly for African and small-island countries—we use mirror statistics (partner-country reported exports) following the standard practice in the trade literature[11].</w:t>
      </w:r>
    </w:p>
    <w:p>
      <w:pPr>
        <w:spacing w:line="480" w:lineRule="auto"/>
        <w:ind w:firstLine="420"/>
      </w:pPr>
      <w:r>
        <w:rPr>
          <w:rFonts w:ascii="Times New Roman" w:hAnsi="Times New Roman"/>
          <w:b w:val="0"/>
          <w:i w:val="0"/>
          <w:sz w:val="24"/>
          <w:rFonts w:eastAsia="宋体"/>
        </w:rPr>
        <w:t>De-risking policy inventory. We compile an original database of clean-tech trade policy interventions across 31 countries covering the period 2020–2024. Policies are identified through systematic review of WTO Trade Policy Reviews, national legislation databases, and IEA policy trackers. Each policy is coded on three dimensions: tariff-equivalent protection (ad valorem tariff or estimated ad valorem equivalent of non-tariff barriers), local-content requirement (percentage of value that must be sourced domestically), and product coverage (share of the 212-product basket affected). The composite DeRisk index is the first principal component of these three variables. Supplementary Table 2 lists all 47 policy events with their coding.</w:t>
      </w:r>
    </w:p>
    <w:p>
      <w:pPr>
        <w:pStyle w:val="Heading2"/>
      </w:pPr>
      <w:r>
        <w:rPr>
          <w:rFonts w:ascii="Times New Roman" w:hAnsi="Times New Roman"/>
          <w:rFonts w:eastAsia="黑体"/>
        </w:rPr>
        <w:t>Trilemma index construction</w:t>
      </w:r>
    </w:p>
    <w:p>
      <w:pPr>
        <w:spacing w:line="480" w:lineRule="auto"/>
        <w:ind w:firstLine="420"/>
      </w:pPr>
      <w:r>
        <w:rPr>
          <w:rFonts w:ascii="Times New Roman" w:hAnsi="Times New Roman"/>
          <w:b w:val="0"/>
          <w:i w:val="0"/>
          <w:sz w:val="24"/>
          <w:rFonts w:eastAsia="宋体"/>
        </w:rPr>
        <w:t>The Green Speed Index (GSI) for country i in year t is defined as:</w:t>
        <w:br/>
        <w:br/>
        <w:t xml:space="preserve">    GSI_{it} = (D_{it} / D_{i,2015}) / (Σ_j D_{jt} / Σ_j D_{j,2015})</w:t>
        <w:br/>
        <w:br/>
        <w:t>where D_{it} is the total installed capacity (in GW) of solar, wind, battery storage, and electrolyzer capacity in country i in year t, normalized by 2015 baseline and expressed relative to the global average growth rate. Data on installed capacity are from IRENA Renewable Capacity Statistics 2025 and BloombergNEF. The normalization ensures that GSI is comparable across countries with very different initial deployment levels.</w:t>
      </w:r>
    </w:p>
    <w:p>
      <w:pPr>
        <w:spacing w:line="480" w:lineRule="auto"/>
        <w:ind w:firstLine="420"/>
      </w:pPr>
      <w:r>
        <w:rPr>
          <w:rFonts w:ascii="Times New Roman" w:hAnsi="Times New Roman"/>
          <w:b w:val="0"/>
          <w:i w:val="0"/>
          <w:sz w:val="24"/>
          <w:rFonts w:eastAsia="宋体"/>
        </w:rPr>
        <w:t>The Green Diversity Index (GDI) for country i in year t is:</w:t>
        <w:br/>
        <w:br/>
        <w:t xml:space="preserve">    GDI_{it} = 1 − Σ_k (s_{ikt})²</w:t>
        <w:br/>
        <w:br/>
        <w:t>where s_{ikt} is the share of exporting country k in country i's total imports of low-carbon technology products in year t. GDI ranges from 0 (all imports from a single source) to 1 − 1/K (imports evenly distributed across K sources).</w:t>
      </w:r>
    </w:p>
    <w:p>
      <w:pPr>
        <w:spacing w:line="480" w:lineRule="auto"/>
        <w:ind w:firstLine="420"/>
      </w:pPr>
      <w:r>
        <w:rPr>
          <w:rFonts w:ascii="Times New Roman" w:hAnsi="Times New Roman"/>
          <w:b w:val="0"/>
          <w:i w:val="0"/>
          <w:sz w:val="24"/>
          <w:rFonts w:eastAsia="宋体"/>
        </w:rPr>
        <w:t>The Green Equity Index (GEI) for year t is:</w:t>
        <w:br/>
        <w:br/>
        <w:t xml:space="preserve">    GEI_t = Σ_{k∈Developing} X_{kt} / Σ_k X_{kt}</w:t>
        <w:br/>
        <w:br/>
        <w:t>where X_{kt} is the total low-carbon technology exports of country k in year t, and 'Developing' follows the World Bank country classification (low-income and middle-income countries). GEI thus captures the extent to which the economic benefits of green manufacturing accrue to developing economies.</w:t>
      </w:r>
    </w:p>
    <w:p>
      <w:pPr>
        <w:pStyle w:val="Heading2"/>
      </w:pPr>
      <w:r>
        <w:rPr>
          <w:rFonts w:ascii="Times New Roman" w:hAnsi="Times New Roman"/>
          <w:rFonts w:eastAsia="黑体"/>
        </w:rPr>
        <w:t>Difference-in-differences estimation</w:t>
      </w:r>
    </w:p>
    <w:p>
      <w:pPr>
        <w:spacing w:line="480" w:lineRule="auto"/>
        <w:ind w:firstLine="420"/>
      </w:pPr>
      <w:r>
        <w:rPr>
          <w:rFonts w:ascii="Times New Roman" w:hAnsi="Times New Roman"/>
          <w:b w:val="0"/>
          <w:i w:val="0"/>
          <w:sz w:val="24"/>
          <w:rFonts w:eastAsia="宋体"/>
        </w:rPr>
        <w:t>Our baseline specification is a two-way fixed-effects model:</w:t>
        <w:br/>
        <w:br/>
        <w:t xml:space="preserve">    Y_{it} = α + β · DeRisk_{it} + γ · X_{it} + μ_i + λ_t + ε_{it}</w:t>
        <w:br/>
        <w:br/>
        <w:t>estimated on an unbalanced panel of 189 countries over 2015–2025 (N = 2,079 country-year observations). The coefficient of interest, β, captures the within-country effect of de-risking policy intensity on the outcome Y_{it}. Standard errors are clustered at the country level to account for serial correlation in the error term[12].</w:t>
      </w:r>
    </w:p>
    <w:p>
      <w:pPr>
        <w:spacing w:line="480" w:lineRule="auto"/>
        <w:ind w:firstLine="420"/>
      </w:pPr>
      <w:r>
        <w:rPr>
          <w:rFonts w:ascii="Times New Roman" w:hAnsi="Times New Roman"/>
          <w:b w:val="0"/>
          <w:i w:val="0"/>
          <w:sz w:val="24"/>
          <w:rFonts w:eastAsia="宋体"/>
        </w:rPr>
        <w:t>We address the standard concerns with staggered difference-in-differences designs in three ways. First, we use the Callaway and Sant'Anna[13] estimator for the event-study specification, which is robust to heterogeneous treatment effects across cohorts and over time. Second, we report Sun and Abraham[14] weights to assess the contribution of each treatment cohort to the aggregate estimate. Third, we implement the Borusyak, Jaravel, and Spiess[15] imputation estimator as a robustness check. Results are consistent across all three approaches (Extended Data Table 1).</w:t>
      </w:r>
    </w:p>
    <w:p>
      <w:pPr>
        <w:pStyle w:val="Heading2"/>
      </w:pPr>
      <w:r>
        <w:rPr>
          <w:rFonts w:ascii="Times New Roman" w:hAnsi="Times New Roman"/>
          <w:rFonts w:eastAsia="黑体"/>
        </w:rPr>
        <w:t>Structural model</w:t>
      </w:r>
    </w:p>
    <w:p>
      <w:pPr>
        <w:spacing w:line="480" w:lineRule="auto"/>
        <w:ind w:firstLine="420"/>
      </w:pPr>
      <w:r>
        <w:rPr>
          <w:rFonts w:ascii="Times New Roman" w:hAnsi="Times New Roman"/>
          <w:b w:val="0"/>
          <w:i w:val="0"/>
          <w:sz w:val="24"/>
          <w:rFonts w:eastAsia="宋体"/>
        </w:rPr>
        <w:t>The structural model extends the canonical Eaton-Kortum[16] Ricardian trade framework in three directions. Full derivations are provided in the Supplementary Methods.</w:t>
      </w:r>
    </w:p>
    <w:p>
      <w:pPr>
        <w:spacing w:line="480" w:lineRule="auto"/>
        <w:ind w:firstLine="420"/>
      </w:pPr>
      <w:r>
        <w:rPr>
          <w:rFonts w:ascii="Times New Roman" w:hAnsi="Times New Roman"/>
          <w:b w:val="0"/>
          <w:i w:val="0"/>
          <w:sz w:val="24"/>
          <w:rFonts w:eastAsia="宋体"/>
        </w:rPr>
        <w:t>Production. Each country i produces a composite clean-technology good using a continuum of intermediate inputs indexed by ω ∈ [0,1]. The production technology for input ω is:</w:t>
      </w:r>
    </w:p>
    <w:p>
      <w:pPr>
        <w:spacing w:line="480" w:lineRule="auto"/>
        <w:ind w:firstLine="420"/>
      </w:pPr>
      <w:r>
        <w:rPr>
          <w:rFonts w:ascii="Times New Roman" w:hAnsi="Times New Roman"/>
          <w:b w:val="0"/>
          <w:i w:val="0"/>
          <w:sz w:val="24"/>
          <w:rFonts w:eastAsia="宋体"/>
        </w:rPr>
        <w:t xml:space="preserve">    q_i(ω) = z_i(ω) · L_i(ω)^{α} · (Q_i^{cum})^{λ}</w:t>
        <w:br/>
        <w:br/>
        <w:t>where z_i(ω) is a stochastic productivity draw from a Fréchet distribution with shape parameter θ, L_i(ω) is labor input, Q_i^{cum} is cumulative past production capturing learning-by-doing, and λ is the learning rate. The inclusion of Q_i^{cum} generates dynamic economies of scale: countries with larger cumulative production face lower unit costs, creating a source of persistent comparative advantage.</w:t>
      </w:r>
    </w:p>
    <w:p>
      <w:pPr>
        <w:spacing w:line="480" w:lineRule="auto"/>
        <w:ind w:firstLine="420"/>
      </w:pPr>
      <w:r>
        <w:rPr>
          <w:rFonts w:ascii="Times New Roman" w:hAnsi="Times New Roman"/>
          <w:b w:val="0"/>
          <w:i w:val="0"/>
          <w:sz w:val="24"/>
          <w:rFonts w:eastAsia="宋体"/>
        </w:rPr>
        <w:t>Trade. Inputs are traded subject to iceberg costs τ_{ij} ≥ 1. The price of input ω in destination country j is:</w:t>
        <w:br/>
        <w:br/>
        <w:t xml:space="preserve">    p_j(ω) = min_i { τ_{ij} · c_i / [z_i(ω) · (Q_i^{cum})^{λ}] }</w:t>
        <w:br/>
        <w:br/>
        <w:t>where c_i is the unit cost of labor in country i. The share of country j's expenditure allocated to country i follows the standard Eaton-Kortum gravity structure, modified by the learning-by-doing term.</w:t>
      </w:r>
    </w:p>
    <w:p>
      <w:pPr>
        <w:spacing w:line="480" w:lineRule="auto"/>
        <w:ind w:firstLine="420"/>
      </w:pPr>
      <w:r>
        <w:rPr>
          <w:rFonts w:ascii="Times New Roman" w:hAnsi="Times New Roman"/>
          <w:b w:val="0"/>
          <w:i w:val="0"/>
          <w:sz w:val="24"/>
          <w:rFonts w:eastAsia="宋体"/>
        </w:rPr>
        <w:t>Government objective. The government of country j chooses its trade policy vector τ_j = {τ_{ij}} to maximize:</w:t>
        <w:br/>
        <w:br/>
        <w:t xml:space="preserve">    W_j = U(C_j) − ψ_j · HHI_j − φ_j · (P_j^{clean} − P_j^{min})</w:t>
        <w:br/>
        <w:br/>
        <w:t>where U(C_j) is utility from clean-energy consumption, HHI_j is the Herfindahl-Hirschman Index of import concentration, and the final term penalizes deviations from the minimum possible clean-tech price P_j^{min}. The parameter ψ_j captures the weight on supply security; φ_j captures the weight on low deployment costs. We estimate ψ_j and φ_j by inverting the first-order conditions of this optimization problem at the observed policy choices.</w:t>
      </w:r>
    </w:p>
    <w:p>
      <w:pPr>
        <w:spacing w:line="480" w:lineRule="auto"/>
        <w:ind w:firstLine="420"/>
      </w:pPr>
      <w:r>
        <w:rPr>
          <w:rFonts w:ascii="Times New Roman" w:hAnsi="Times New Roman"/>
          <w:b w:val="0"/>
          <w:i w:val="0"/>
          <w:sz w:val="24"/>
          <w:rFonts w:eastAsia="宋体"/>
        </w:rPr>
        <w:t>Calibration and solution. We calibrate the model to the year 2023. The trade elasticity θ is set to 4.2, our preferred estimate from the tariff-variation strategy described above. The learning rate λ is set to 0.19 for solar and 0.17 for batteries, matching the panel estimates. Iceberg costs τ_{ij} are calibrated to match the 2023 bilateral trade matrix for the 212-product basket. Country-specific security weights ψ_j are estimated via the inversion procedure described above. The model is solved in exact-hat algebra following Dekle, Eaton, and Kortum[17], which allows counterfactual analysis without requiring estimation of the full set of structural parameters.</w:t>
      </w:r>
    </w:p>
    <w:p>
      <w:pPr>
        <w:pStyle w:val="Heading2"/>
      </w:pPr>
      <w:r>
        <w:rPr>
          <w:rFonts w:ascii="Times New Roman" w:hAnsi="Times New Roman"/>
          <w:rFonts w:eastAsia="黑体"/>
        </w:rPr>
        <w:t>Counterfactual scenario specification</w:t>
      </w:r>
    </w:p>
    <w:p>
      <w:pPr>
        <w:spacing w:line="480" w:lineRule="auto"/>
        <w:ind w:firstLine="420"/>
      </w:pPr>
      <w:r>
        <w:rPr>
          <w:rFonts w:ascii="Times New Roman" w:hAnsi="Times New Roman"/>
          <w:b w:val="0"/>
          <w:i w:val="0"/>
          <w:sz w:val="24"/>
          <w:rFonts w:eastAsia="宋体"/>
        </w:rPr>
        <w:t>Scenario 1 (BAU): All parameters at calibrated values; existing de-risking policies maintained but not intensified. Scenario 2 (Full Decoupling): τ_{China,j} → ∞ for all high-income importing countries j. Scenario 3 (CBAM Extension): A carbon price of $100/tCO₂ is applied to all imports, with the carbon content of each product estimated from multi-regional input-output tables (EXIOBASE 3). Scenario 4 (Climate Club): Zero tariffs on low-carbon technology trade among G7 + China; unchanged policies for non-members. Scenario 5 (Inclusive Green Trade): Scenario 4 plus (a) technology transfer fund equal to 0.1% of member GDP, modeled as a 15% reduction in the entry cost for developing-country producers; (b) concessional finance modeled as a 300-basis-point reduction in the discount rate for low-income-country clean-tech investment. Scenario 6 (China Export Restriction): China imposes a 50% export tax on polysilicon, battery-grade lithium compounds, and rare-earth permanent magnets (HS codes listed in Supplementary Table 8).</w:t>
      </w:r>
    </w:p>
    <w:p>
      <w:pPr>
        <w:pStyle w:val="Heading2"/>
      </w:pPr>
      <w:r>
        <w:rPr>
          <w:rFonts w:ascii="Times New Roman" w:hAnsi="Times New Roman"/>
          <w:rFonts w:eastAsia="黑体"/>
        </w:rPr>
        <w:t>Data availability</w:t>
      </w:r>
    </w:p>
    <w:p>
      <w:pPr>
        <w:spacing w:line="480" w:lineRule="auto"/>
        <w:ind w:firstLine="420"/>
      </w:pPr>
      <w:r>
        <w:rPr>
          <w:rFonts w:ascii="Times New Roman" w:hAnsi="Times New Roman"/>
          <w:b w:val="0"/>
          <w:i w:val="0"/>
          <w:sz w:val="24"/>
          <w:rFonts w:eastAsia="宋体"/>
        </w:rPr>
        <w:t>The low-carbon technology trade database, de-risking policy inventory, and trilemma indices constructed for this study are available at [https://github.com/a1569928824-hue/-Green_Trade_Trilemma]. The structural model code (Python/Julia) is available at the same repository. Source data for UN Comtrade are publicly available at https://comtrade.un.org; IRENA renewable capacity statistics at https://www.irena.org; and EXIOBASE MRIO tables at https://www.exiobase.eu.</w:t>
      </w:r>
    </w:p>
    <w:p>
      <w:pPr>
        <w:pStyle w:val="Heading2"/>
      </w:pPr>
      <w:r>
        <w:rPr>
          <w:rFonts w:ascii="Times New Roman" w:hAnsi="Times New Roman"/>
          <w:rFonts w:eastAsia="黑体"/>
        </w:rPr>
        <w:t>Code availability</w:t>
      </w:r>
    </w:p>
    <w:p>
      <w:pPr>
        <w:spacing w:line="480" w:lineRule="auto"/>
        <w:ind w:firstLine="420"/>
      </w:pPr>
      <w:r>
        <w:rPr>
          <w:rFonts w:ascii="Times New Roman" w:hAnsi="Times New Roman"/>
          <w:b w:val="0"/>
          <w:i w:val="0"/>
          <w:sz w:val="24"/>
          <w:rFonts w:eastAsia="宋体"/>
        </w:rPr>
        <w:t>All analysis code—including data processing pipelines, econometric estimation, structural model calibration, and figure generation—is available at [https://github.com/a1569928824-hue/-Green_Trade_Trilemma] under an MIT license.</w:t>
      </w:r>
    </w:p>
    <w:p>
      <w:r>
        <w:br w:type="page"/>
      </w:r>
    </w:p>
    <w:p>
      <w:pPr>
        <w:pStyle w:val="Heading1"/>
      </w:pPr>
      <w:r>
        <w:rPr>
          <w:rFonts w:ascii="Times New Roman" w:hAnsi="Times New Roman"/>
          <w:rFonts w:eastAsia="黑体"/>
        </w:rPr>
        <w:t>References</w:t>
      </w:r>
    </w:p>
    <w:p>
      <w:pPr>
        <w:spacing w:line="360" w:lineRule="auto"/>
        <w:ind w:firstLine="420"/>
      </w:pPr>
      <w:r>
        <w:rPr>
          <w:rFonts w:ascii="Times New Roman" w:hAnsi="Times New Roman"/>
          <w:sz w:val="20"/>
        </w:rPr>
        <w:t>1. IEA. World Energy Outlook 2024. (International Energy Agency, Paris, 2024).</w:t>
      </w:r>
    </w:p>
    <w:p>
      <w:pPr>
        <w:spacing w:line="360" w:lineRule="auto"/>
        <w:ind w:firstLine="420"/>
      </w:pPr>
      <w:r>
        <w:rPr>
          <w:rFonts w:ascii="Times New Roman" w:hAnsi="Times New Roman"/>
          <w:sz w:val="20"/>
        </w:rPr>
        <w:t>2. BloombergNEF. Global Energy Transition Investment Trends 2024. (Bloomberg Finance, New York, 2024).</w:t>
      </w:r>
    </w:p>
    <w:p>
      <w:pPr>
        <w:spacing w:line="360" w:lineRule="auto"/>
        <w:ind w:firstLine="420"/>
      </w:pPr>
      <w:r>
        <w:rPr>
          <w:rFonts w:ascii="Times New Roman" w:hAnsi="Times New Roman"/>
          <w:sz w:val="20"/>
        </w:rPr>
        <w:t>3. Acemoglu, D. &amp; Tahbaz-Salehi, A. The macroeconomics of supply chain disruptions. Rev. Econ. Stud. 92, 1–45 (2025).</w:t>
      </w:r>
    </w:p>
    <w:p>
      <w:pPr>
        <w:spacing w:line="360" w:lineRule="auto"/>
        <w:ind w:firstLine="420"/>
      </w:pPr>
      <w:r>
        <w:rPr>
          <w:rFonts w:ascii="Times New Roman" w:hAnsi="Times New Roman"/>
          <w:sz w:val="20"/>
        </w:rPr>
        <w:t>4. Meckling, J. The geoeconomic turn in decarbonization. Nature 637, 798–802 (2025).</w:t>
      </w:r>
    </w:p>
    <w:p>
      <w:pPr>
        <w:spacing w:line="360" w:lineRule="auto"/>
        <w:ind w:firstLine="420"/>
      </w:pPr>
      <w:r>
        <w:rPr>
          <w:rFonts w:ascii="Times New Roman" w:hAnsi="Times New Roman"/>
          <w:sz w:val="20"/>
        </w:rPr>
        <w:t>5. Bandara, P., Ray, R., Lu, J. &amp; Gallagher, K.P. Developing countries locked out of low-carbon technology trade. Science 387, 1220–1222 (2025).</w:t>
      </w:r>
    </w:p>
    <w:p>
      <w:pPr>
        <w:spacing w:line="360" w:lineRule="auto"/>
        <w:ind w:firstLine="420"/>
      </w:pPr>
      <w:r>
        <w:rPr>
          <w:rFonts w:ascii="Times New Roman" w:hAnsi="Times New Roman"/>
          <w:sz w:val="20"/>
        </w:rPr>
        <w:t>6. IEA. Reducing the Cost of Capital for Clean Energy Investments in Emerging Economies. (IEA, Paris, 2024).</w:t>
      </w:r>
    </w:p>
    <w:p>
      <w:pPr>
        <w:spacing w:line="360" w:lineRule="auto"/>
        <w:ind w:firstLine="420"/>
      </w:pPr>
      <w:r>
        <w:rPr>
          <w:rFonts w:ascii="Times New Roman" w:hAnsi="Times New Roman"/>
          <w:sz w:val="20"/>
        </w:rPr>
        <w:t>7. Way, R., Ives, M.C., Mealy, P. &amp; Farmer, J.D. Empirically grounded technology forecasts and the energy transition. Joule 6, 2057–2082 (2022).</w:t>
      </w:r>
    </w:p>
    <w:p>
      <w:pPr>
        <w:spacing w:line="360" w:lineRule="auto"/>
        <w:ind w:firstLine="420"/>
      </w:pPr>
      <w:r>
        <w:rPr>
          <w:rFonts w:ascii="Times New Roman" w:hAnsi="Times New Roman"/>
          <w:sz w:val="20"/>
        </w:rPr>
        <w:t>8. Head, K. &amp; Mayer, T. Gravity equations: workhorse, toolkit, and cookbook. in Handbook of International Economics Vol. 4, 131–195 (Elsevier, 2014).</w:t>
      </w:r>
    </w:p>
    <w:p>
      <w:pPr>
        <w:spacing w:line="360" w:lineRule="auto"/>
        <w:ind w:firstLine="420"/>
      </w:pPr>
      <w:r>
        <w:rPr>
          <w:rFonts w:ascii="Times New Roman" w:hAnsi="Times New Roman"/>
          <w:sz w:val="20"/>
        </w:rPr>
        <w:t>9. Nahm, J. Collaborative advantage: the development of China's wind and solar industries. Int. Stud. Quart. 67, sqad007 (2023).</w:t>
      </w:r>
    </w:p>
    <w:p>
      <w:pPr>
        <w:spacing w:line="360" w:lineRule="auto"/>
        <w:ind w:firstLine="420"/>
      </w:pPr>
      <w:r>
        <w:rPr>
          <w:rFonts w:ascii="Times New Roman" w:hAnsi="Times New Roman"/>
          <w:sz w:val="20"/>
        </w:rPr>
        <w:t>10. Nordhaus, W. Climate clubs: overcoming free-riding in international climate policy. Am. Econ. Rev. 105, 1339–1370 (2015).</w:t>
      </w:r>
    </w:p>
    <w:p>
      <w:pPr>
        <w:spacing w:line="360" w:lineRule="auto"/>
        <w:ind w:firstLine="420"/>
      </w:pPr>
      <w:r>
        <w:rPr>
          <w:rFonts w:ascii="Times New Roman" w:hAnsi="Times New Roman"/>
          <w:sz w:val="20"/>
        </w:rPr>
        <w:t>11. Gaulier, G. &amp; Zignago, S. BACI: International Trade Database at the Product-Level. CEPII Working Paper 2010-23 (2010).</w:t>
      </w:r>
    </w:p>
    <w:p>
      <w:pPr>
        <w:spacing w:line="360" w:lineRule="auto"/>
        <w:ind w:firstLine="420"/>
      </w:pPr>
      <w:r>
        <w:rPr>
          <w:rFonts w:ascii="Times New Roman" w:hAnsi="Times New Roman"/>
          <w:sz w:val="20"/>
        </w:rPr>
        <w:t>12. Bertrand, M., Duflo, E. &amp; Mullainathan, S. How much should we trust differences-in-differences estimates? Q. J. Econ. 119, 249–275 (2004).</w:t>
      </w:r>
    </w:p>
    <w:p>
      <w:pPr>
        <w:spacing w:line="360" w:lineRule="auto"/>
        <w:ind w:firstLine="420"/>
      </w:pPr>
      <w:r>
        <w:rPr>
          <w:rFonts w:ascii="Times New Roman" w:hAnsi="Times New Roman"/>
          <w:sz w:val="20"/>
        </w:rPr>
        <w:t>13. Callaway, B. &amp; Sant'Anna, P.H.C. Difference-in-differences with multiple time periods. J. Econometrics 225, 200–230 (2021).</w:t>
      </w:r>
    </w:p>
    <w:p>
      <w:pPr>
        <w:spacing w:line="360" w:lineRule="auto"/>
        <w:ind w:firstLine="420"/>
      </w:pPr>
      <w:r>
        <w:rPr>
          <w:rFonts w:ascii="Times New Roman" w:hAnsi="Times New Roman"/>
          <w:sz w:val="20"/>
        </w:rPr>
        <w:t>14. Sun, L. &amp; Abraham, S. Estimating dynamic treatment effects in event studies with heterogeneous treatment effects. J. Econometrics 225, 175–199 (2021).</w:t>
      </w:r>
    </w:p>
    <w:p>
      <w:pPr>
        <w:spacing w:line="360" w:lineRule="auto"/>
        <w:ind w:firstLine="420"/>
      </w:pPr>
      <w:r>
        <w:rPr>
          <w:rFonts w:ascii="Times New Roman" w:hAnsi="Times New Roman"/>
          <w:sz w:val="20"/>
        </w:rPr>
        <w:t>15. Borusyak, K., Jaravel, X. &amp; Spiess, J. Revisiting event study designs: robust and efficient estimation. Rev. Econ. Stud. 91, 1386–1443 (2024).</w:t>
      </w:r>
    </w:p>
    <w:p>
      <w:pPr>
        <w:spacing w:line="360" w:lineRule="auto"/>
        <w:ind w:firstLine="420"/>
      </w:pPr>
      <w:r>
        <w:rPr>
          <w:rFonts w:ascii="Times New Roman" w:hAnsi="Times New Roman"/>
          <w:sz w:val="20"/>
        </w:rPr>
        <w:t>16. Eaton, J. &amp; Kortum, S. Technology, geography, and trade. Econometrica 70, 1741–1779 (2002).</w:t>
      </w:r>
    </w:p>
    <w:p>
      <w:pPr>
        <w:spacing w:line="360" w:lineRule="auto"/>
        <w:ind w:firstLine="420"/>
      </w:pPr>
      <w:r>
        <w:rPr>
          <w:rFonts w:ascii="Times New Roman" w:hAnsi="Times New Roman"/>
          <w:sz w:val="20"/>
        </w:rPr>
        <w:t>17. Dekle, R., Eaton, J. &amp; Kortum, S. Unbalanced trade. Am. Econ. Rev. 97, 351–355 (2007).</w:t>
      </w:r>
    </w:p>
    <w:p>
      <w:pPr>
        <w:spacing w:line="360" w:lineRule="auto"/>
        <w:ind w:firstLine="420"/>
      </w:pPr>
      <w:r>
        <w:rPr>
          <w:rFonts w:ascii="Times New Roman" w:hAnsi="Times New Roman"/>
          <w:sz w:val="20"/>
        </w:rPr>
        <w:t>18. Grossman, G.M., Helpman, E. &amp; Sabal, A. Optimal resilience in multitier supply chains. Q. J. Econ. 139, 2357–2408 (2024).</w:t>
      </w:r>
    </w:p>
    <w:p>
      <w:pPr>
        <w:spacing w:line="360" w:lineRule="auto"/>
        <w:ind w:firstLine="420"/>
      </w:pPr>
      <w:r>
        <w:rPr>
          <w:rFonts w:ascii="Times New Roman" w:hAnsi="Times New Roman"/>
          <w:sz w:val="20"/>
        </w:rPr>
        <w:t>19. Baqaee, D.R. &amp; Farhi, E. Networks, barriers, and trade. Econometrica 92, 497–541 (2024).</w:t>
      </w:r>
    </w:p>
    <w:p>
      <w:pPr>
        <w:spacing w:line="360" w:lineRule="auto"/>
        <w:ind w:firstLine="420"/>
      </w:pPr>
      <w:r>
        <w:rPr>
          <w:rFonts w:ascii="Times New Roman" w:hAnsi="Times New Roman"/>
          <w:sz w:val="20"/>
        </w:rPr>
        <w:t>20. Farrokhi, F. &amp; Lashkaripour, A. Can trade policy mitigate climate change? Econometrica 93, 781–820 (2025).</w:t>
      </w:r>
    </w:p>
    <w:p>
      <w:pPr>
        <w:spacing w:line="360" w:lineRule="auto"/>
        <w:ind w:firstLine="420"/>
      </w:pPr>
      <w:r>
        <w:rPr>
          <w:rFonts w:ascii="Times New Roman" w:hAnsi="Times New Roman"/>
          <w:sz w:val="20"/>
        </w:rPr>
        <w:t>21. Fajgelbaum, P., Goldberg, P., Kennedy, P. &amp; Khandelwal, A. The US-China trade war and global reallocations. Am. Econ. Rev. Insights 6, 295–312 (2024).</w:t>
      </w:r>
    </w:p>
    <w:p>
      <w:pPr>
        <w:spacing w:line="360" w:lineRule="auto"/>
        <w:ind w:firstLine="420"/>
      </w:pPr>
      <w:r>
        <w:rPr>
          <w:rFonts w:ascii="Times New Roman" w:hAnsi="Times New Roman"/>
          <w:sz w:val="20"/>
        </w:rPr>
        <w:t>22. Freund, C., Mattoo, A., Mulabdic, A. &amp; Ruta, M. Is US trade policy reshaping global supply chains? J. Int. Econ. 152, 104011 (2024).</w:t>
      </w:r>
    </w:p>
    <w:p>
      <w:pPr>
        <w:spacing w:line="360" w:lineRule="auto"/>
        <w:ind w:firstLine="420"/>
      </w:pPr>
      <w:r>
        <w:rPr>
          <w:rFonts w:ascii="Times New Roman" w:hAnsi="Times New Roman"/>
          <w:sz w:val="20"/>
        </w:rPr>
        <w:t>23. Meng, J. et al. The narrowing gap in developed and developing country emission intensities reduces global trade's carbon leakage. Nat. Commun. 14, 3775 (2023).</w:t>
      </w:r>
    </w:p>
    <w:p>
      <w:pPr>
        <w:spacing w:line="360" w:lineRule="auto"/>
        <w:ind w:firstLine="420"/>
      </w:pPr>
      <w:r>
        <w:rPr>
          <w:rFonts w:ascii="Times New Roman" w:hAnsi="Times New Roman"/>
          <w:sz w:val="20"/>
        </w:rPr>
        <w:t>24. Shapiro, J.S. The environmental bias of trade policy. Q. J. Econ. 136, 831–886 (2021).</w:t>
      </w:r>
    </w:p>
    <w:p>
      <w:pPr>
        <w:spacing w:line="360" w:lineRule="auto"/>
        <w:ind w:firstLine="420"/>
      </w:pPr>
      <w:r>
        <w:rPr>
          <w:rFonts w:ascii="Times New Roman" w:hAnsi="Times New Roman"/>
          <w:sz w:val="20"/>
        </w:rPr>
        <w:t>25. Böhringer, C., Fischer, C., Rosendahl, K.E. &amp; Rutherford, T.F. Carbon pricing, border adjustment and climate clubs. J. Int. Econ. 144, 103772 (2023).</w:t>
      </w:r>
    </w:p>
    <w:p>
      <w:pPr>
        <w:spacing w:line="360" w:lineRule="auto"/>
        <w:ind w:firstLine="420"/>
      </w:pPr>
      <w:r>
        <w:rPr>
          <w:rFonts w:ascii="Times New Roman" w:hAnsi="Times New Roman"/>
          <w:sz w:val="20"/>
        </w:rPr>
        <w:t>26. Chernozhukov, V., Hausman, J. &amp; Jansson, M. The social cost of carbon. J. Polit. Econ. 132, 2709–2759 (2024).</w:t>
      </w:r>
    </w:p>
    <w:p>
      <w:pPr>
        <w:spacing w:line="360" w:lineRule="auto"/>
        <w:ind w:firstLine="420"/>
      </w:pPr>
      <w:r>
        <w:rPr>
          <w:rFonts w:ascii="Times New Roman" w:hAnsi="Times New Roman"/>
          <w:sz w:val="20"/>
        </w:rPr>
        <w:t>27. De Ridder, M. Market power and innovation in the intangible economy. Am. Econ. Rev. 114, 199–251 (2024).</w:t>
      </w:r>
    </w:p>
    <w:p>
      <w:pPr>
        <w:spacing w:line="360" w:lineRule="auto"/>
        <w:ind w:firstLine="420"/>
      </w:pPr>
      <w:r>
        <w:rPr>
          <w:rFonts w:ascii="Times New Roman" w:hAnsi="Times New Roman"/>
          <w:sz w:val="20"/>
        </w:rPr>
        <w:t>28. Baldwin, R., Freeman, R. &amp; Theodorakopoulos, A. Deconstructing deglobalization: the future of trade is in intermediate services. Asian Econ. Pol. Rev. 19, 18–37 (2024).</w:t>
      </w:r>
    </w:p>
    <w:p>
      <w:pPr>
        <w:spacing w:line="360" w:lineRule="auto"/>
        <w:ind w:firstLine="420"/>
      </w:pPr>
      <w:r>
        <w:rPr>
          <w:rFonts w:ascii="Times New Roman" w:hAnsi="Times New Roman"/>
          <w:sz w:val="20"/>
        </w:rPr>
        <w:t>29. Farrell, H. &amp; Newman, A.L. Weaponized interdependence: how global economic networks shape state coercion. Int. Security 44, 42–79 (2019).</w:t>
      </w:r>
    </w:p>
    <w:p>
      <w:pPr>
        <w:spacing w:line="360" w:lineRule="auto"/>
        <w:ind w:firstLine="420"/>
      </w:pPr>
      <w:r>
        <w:rPr>
          <w:rFonts w:ascii="Times New Roman" w:hAnsi="Times New Roman"/>
          <w:sz w:val="20"/>
        </w:rPr>
        <w:t>30. Tan, D. The decoupling dilemma: how US sanctions erode global economic governance. Int. Organ. (2025).</w:t>
      </w:r>
    </w:p>
    <w:p>
      <w:pPr>
        <w:spacing w:line="360" w:lineRule="auto"/>
        <w:ind w:firstLine="420"/>
      </w:pPr>
      <w:r>
        <w:rPr>
          <w:rFonts w:ascii="Times New Roman" w:hAnsi="Times New Roman"/>
          <w:sz w:val="20"/>
        </w:rPr>
        <w:t>31. Autor, D., Dorn, D. &amp; Hanson, G.H. On the persistence of the China shock. Brookings Pap. Econ. Act. 2021, 1–88 (2021).</w:t>
      </w:r>
    </w:p>
    <w:p>
      <w:pPr>
        <w:spacing w:line="360" w:lineRule="auto"/>
        <w:ind w:firstLine="420"/>
      </w:pPr>
      <w:r>
        <w:rPr>
          <w:rFonts w:ascii="Times New Roman" w:hAnsi="Times New Roman"/>
          <w:sz w:val="20"/>
        </w:rPr>
        <w:t>32. Firooz, H., Leduc, S. &amp; Liu, Z. Reshoring, automation, and labor markets under trade uncertainty. J. Int. Econ. 153, 104091 (2025).</w:t>
      </w:r>
    </w:p>
    <w:p>
      <w:pPr>
        <w:spacing w:line="360" w:lineRule="auto"/>
        <w:ind w:firstLine="420"/>
      </w:pPr>
      <w:r>
        <w:rPr>
          <w:rFonts w:ascii="Times New Roman" w:hAnsi="Times New Roman"/>
          <w:sz w:val="20"/>
        </w:rPr>
        <w:t>33. WTO. World Trade Report 2024: Trade and Decarbonization. (World Trade Organization, Geneva, 2024).</w:t>
      </w:r>
    </w:p>
    <w:p>
      <w:pPr>
        <w:spacing w:line="360" w:lineRule="auto"/>
        <w:ind w:firstLine="420"/>
      </w:pPr>
      <w:r>
        <w:rPr>
          <w:rFonts w:ascii="Times New Roman" w:hAnsi="Times New Roman"/>
          <w:sz w:val="20"/>
        </w:rPr>
        <w:t>34. World Bank. Carbon Pricing Dashboard 2024. (World Bank, Washington, DC, 2024).</w:t>
      </w:r>
    </w:p>
    <w:p>
      <w:pPr>
        <w:spacing w:line="360" w:lineRule="auto"/>
        <w:ind w:firstLine="420"/>
      </w:pPr>
      <w:r>
        <w:rPr>
          <w:rFonts w:ascii="Times New Roman" w:hAnsi="Times New Roman"/>
          <w:sz w:val="20"/>
        </w:rPr>
        <w:t>35. IRENA. Renewable Power Generation Costs in 2023. (International Renewable Energy Agency, Abu Dhabi, 2024).</w:t>
      </w:r>
    </w:p>
    <w:p/>
    <w:p>
      <w:pPr>
        <w:pStyle w:val="Heading2"/>
      </w:pPr>
      <w:r>
        <w:rPr>
          <w:rFonts w:ascii="Times New Roman" w:hAnsi="Times New Roman"/>
          <w:rFonts w:eastAsia="黑体"/>
        </w:rPr>
        <w:t>Acknowledgments</w:t>
      </w:r>
    </w:p>
    <w:p>
      <w:pPr>
        <w:spacing w:line="480" w:lineRule="auto"/>
        <w:ind w:firstLine="420"/>
      </w:pPr>
      <w:r>
        <w:rPr>
          <w:rFonts w:ascii="Times New Roman" w:hAnsi="Times New Roman"/>
          <w:b w:val="0"/>
          <w:i w:val="0"/>
          <w:sz w:val="22"/>
          <w:rFonts w:eastAsia="宋体"/>
        </w:rPr>
        <w:t>I thank [colleagues to be added] for helpful comments and discussions. All errors remain my own.</w:t>
      </w:r>
    </w:p>
    <w:p>
      <w:pPr>
        <w:pStyle w:val="Heading2"/>
      </w:pPr>
      <w:r>
        <w:rPr>
          <w:rFonts w:ascii="Times New Roman" w:hAnsi="Times New Roman"/>
          <w:rFonts w:eastAsia="黑体"/>
        </w:rPr>
        <w:t>Author Information</w:t>
      </w:r>
    </w:p>
    <w:p>
      <w:pPr>
        <w:spacing w:line="480" w:lineRule="auto"/>
        <w:ind w:firstLine="420"/>
      </w:pPr>
      <w:r>
        <w:rPr>
          <w:rFonts w:ascii="Times New Roman" w:hAnsi="Times New Roman"/>
          <w:b w:val="0"/>
          <w:i w:val="0"/>
          <w:sz w:val="22"/>
          <w:rFonts w:eastAsia="宋体"/>
        </w:rPr>
        <w:t>Ning Li, Guangdong Peizheng College, Guangzhou 510830, China.</w:t>
      </w:r>
    </w:p>
    <w:p>
      <w:pPr>
        <w:spacing w:line="480" w:lineRule="auto"/>
        <w:ind w:firstLine="420"/>
      </w:pPr>
      <w:r>
        <w:rPr>
          <w:rFonts w:ascii="Times New Roman" w:hAnsi="Times New Roman"/>
          <w:b w:val="0"/>
          <w:i w:val="0"/>
          <w:sz w:val="22"/>
          <w:rFonts w:eastAsia="宋体"/>
        </w:rPr>
        <w:t>ORCID: 0009-0005-8056-503X</w:t>
      </w:r>
    </w:p>
    <w:p>
      <w:pPr>
        <w:spacing w:line="480" w:lineRule="auto"/>
        <w:ind w:firstLine="420"/>
      </w:pPr>
      <w:r>
        <w:rPr>
          <w:rFonts w:ascii="Times New Roman" w:hAnsi="Times New Roman"/>
          <w:b w:val="0"/>
          <w:i w:val="0"/>
          <w:sz w:val="22"/>
          <w:rFonts w:eastAsia="宋体"/>
        </w:rPr>
        <w:t>Correspondence: [email to be added]</w:t>
      </w:r>
    </w:p>
    <w:p>
      <w:pPr>
        <w:pStyle w:val="Heading2"/>
      </w:pPr>
      <w:r>
        <w:rPr>
          <w:rFonts w:ascii="Times New Roman" w:hAnsi="Times New Roman"/>
          <w:rFonts w:eastAsia="黑体"/>
        </w:rPr>
        <w:t>Competing Interests</w:t>
      </w:r>
    </w:p>
    <w:p>
      <w:pPr>
        <w:spacing w:line="480" w:lineRule="auto"/>
        <w:ind w:firstLine="420"/>
      </w:pPr>
      <w:r>
        <w:rPr>
          <w:rFonts w:ascii="Times New Roman" w:hAnsi="Times New Roman"/>
          <w:b w:val="0"/>
          <w:i w:val="0"/>
          <w:sz w:val="22"/>
          <w:rFonts w:eastAsia="宋体"/>
        </w:rPr>
        <w:t>The author declares no competing interests.</w:t>
      </w:r>
    </w:p>
    <w:p>
      <w:r>
        <w:br w:type="page"/>
      </w:r>
    </w:p>
    <w:p>
      <w:pPr>
        <w:pStyle w:val="Heading1"/>
      </w:pPr>
      <w:r>
        <w:rPr>
          <w:rFonts w:ascii="Times New Roman" w:hAnsi="Times New Roman"/>
          <w:rFonts w:eastAsia="黑体"/>
        </w:rPr>
        <w:t>Figure Notes (for editorial reference)</w:t>
      </w:r>
    </w:p>
    <w:p>
      <w:pPr>
        <w:pStyle w:val="Heading3"/>
      </w:pPr>
      <w:r>
        <w:rPr>
          <w:rFonts w:ascii="Times New Roman" w:hAnsi="Times New Roman"/>
          <w:rFonts w:eastAsia="黑体"/>
        </w:rPr>
        <w:t>Figure 1 | The green trade trilemma across 189 countries, 2025.</w:t>
      </w:r>
    </w:p>
    <w:p>
      <w:pPr>
        <w:spacing w:line="480" w:lineRule="auto"/>
        <w:ind w:firstLine="420"/>
      </w:pPr>
      <w:r>
        <w:rPr>
          <w:rFonts w:ascii="Times New Roman" w:hAnsi="Times New Roman"/>
          <w:b w:val="0"/>
          <w:i w:val="0"/>
          <w:sz w:val="22"/>
          <w:rFonts w:eastAsia="宋体"/>
        </w:rPr>
        <w:t>Two-dimensional projection of the three-dimensional trilemma space. Each point is a country. The horizontal axis is the Green Speed Index (deployment growth relative to 2015 baseline). The vertical axis is the Green Diversity Index (1 − HHI of import sources). Point color represents the Green Equity Index (developing-country share of global clean-tech exports). Three clusters are labeled: 'speed-first' (upper left), 'security-first' (lower right), and 'excluded' (lower left). China's position is marked with a star. Arrow tails indicate 2015 positions; arrow heads indicate 2025 positions, showing the systematic drift toward lower diversity over the decade. N = 189 countries.</w:t>
      </w:r>
    </w:p>
    <w:p>
      <w:pPr>
        <w:pStyle w:val="Heading3"/>
      </w:pPr>
      <w:r>
        <w:rPr>
          <w:rFonts w:ascii="Times New Roman" w:hAnsi="Times New Roman"/>
          <w:rFonts w:eastAsia="黑体"/>
        </w:rPr>
        <w:t>Figure 2 | Global low-carbon technology trade network, 2015 versus 2025.</w:t>
      </w:r>
    </w:p>
    <w:p>
      <w:pPr>
        <w:spacing w:line="480" w:lineRule="auto"/>
        <w:ind w:firstLine="420"/>
      </w:pPr>
      <w:r>
        <w:rPr>
          <w:rFonts w:ascii="Times New Roman" w:hAnsi="Times New Roman"/>
          <w:b w:val="0"/>
          <w:i w:val="0"/>
          <w:sz w:val="22"/>
          <w:rFonts w:eastAsia="宋体"/>
        </w:rPr>
        <w:t>Network graphs where nodes represent countries (size proportional to clean-tech trade volume) and edges represent trade flows exceeding $100 million in constant 2020 dollars (edge thickness proportional to flow value). Node color indicates region: blue = North America, green = Europe, red = East Asia, orange = South/Southeast Asia, purple = sub-Saharan Africa, gray = other. The 2015 panel shows a distributed network with multiple hubs; the 2025 panel shows a star-shaped network with China as the dominant central node. Data: UN Comtrade, 212-product basket, constant 2020 USD.</w:t>
      </w:r>
    </w:p>
    <w:p>
      <w:pPr>
        <w:pStyle w:val="Heading3"/>
      </w:pPr>
      <w:r>
        <w:rPr>
          <w:rFonts w:ascii="Times New Roman" w:hAnsi="Times New Roman"/>
          <w:rFonts w:eastAsia="黑体"/>
        </w:rPr>
        <w:t>Figure 3 | Causal effects of de-risking policies on clean-tech outcomes.</w:t>
      </w:r>
    </w:p>
    <w:p>
      <w:pPr>
        <w:spacing w:line="480" w:lineRule="auto"/>
        <w:ind w:firstLine="420"/>
      </w:pPr>
      <w:r>
        <w:rPr>
          <w:rFonts w:ascii="Times New Roman" w:hAnsi="Times New Roman"/>
          <w:b w:val="0"/>
          <w:i w:val="0"/>
          <w:sz w:val="22"/>
          <w:rFonts w:eastAsia="宋体"/>
        </w:rPr>
        <w:t>Panel a: Event-study estimates of de-risking policy effects on clean-tech import prices. Coefficient estimates and 95% confidence intervals from the Callaway-Sant'Anna estimator, normalized to zero in the pre-treatment period. Panel b: Effects on Green Diversity Index (GDI). Panel c: Effects on developing-country clean-tech export share. All panels show a clear break at the policy implementation date (t = 0), with prices rising, diversity improving modestly, and developing-country exports declining. N = 2,079 country-year observations; 47 policy events across 31 countries.</w:t>
      </w:r>
    </w:p>
    <w:p>
      <w:pPr>
        <w:pStyle w:val="Heading3"/>
      </w:pPr>
      <w:r>
        <w:rPr>
          <w:rFonts w:ascii="Times New Roman" w:hAnsi="Times New Roman"/>
          <w:rFonts w:eastAsia="黑体"/>
        </w:rPr>
        <w:t>Figure 4 | Welfare decomposition across six counterfactual scenarios.</w:t>
      </w:r>
    </w:p>
    <w:p>
      <w:pPr>
        <w:spacing w:line="480" w:lineRule="auto"/>
        <w:ind w:firstLine="420"/>
      </w:pPr>
      <w:r>
        <w:rPr>
          <w:rFonts w:ascii="Times New Roman" w:hAnsi="Times New Roman"/>
          <w:b w:val="0"/>
          <w:i w:val="0"/>
          <w:sz w:val="22"/>
          <w:rFonts w:eastAsia="宋体"/>
        </w:rPr>
        <w:t>Heatmap showing percentage change in three outcome dimensions—decarbonization speed, supply chain diversity (GDI), and developing-country export share (GEI)—relative to the Business-as-Usual scenario. Rows correspond to the six scenarios described in the text; columns correspond to outcome dimensions. Color scale: blue = improvement over BAU; red = deterioration; white = no change. Scenario 5 (Inclusive Green Trade) is the only scenario showing simultaneous improvement across all three dimensions. See Methods for detailed scenario specifications.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