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produces 85% of the world's solar cells, more than 60% of wind turbines, and over 75% of lithium-ion batteries. This concentration creates a tension that no existing framework adequately captures: countries cannot simultaneously maximize decarbonization speed, supply chain security, and development equity. Here we formalize this tension as a 'Green Trade Trilemma' and test it empirically using a new database of bilateral trade in 124 low-carbon technology products across 223 countries from 2015 to 2024, constructed from CEPII BACI (HS6 level) and supplemented with official data from IRENA, the World Bank, and national policy documents. We construct three country-level indices—Green Speed Index (GSI), Green Diversity Index (GDI), and Green Equity Index (GEI)—and find that the trilemma manifests primarily as a trade-off between supply chain diversification and development equity (GDI × GEI r = −0.42), rather than between speed and diversity as previously assumed. The main alternative suppliers to China are other developed countries (United States, European Union, Japan, Korea), meaning de-risking benefits rich-country producers at the expense of poor-country exporters. Using a staggered difference-in-differences design and a product-level Bartik (shift-share) instrument, we find that de-risking policies have limited detectable effects on import costs at the country level, with product-level analysis suggesting potential cost decreases as importers switch to alternative suppliers. A structural trade model with 40 countries (Dekle-Eaton-Kortum exact-hat algebra, θ = 4.2) reveals that only an Inclusive Green Trade regime—combining a climate club with technology transfer and concessional finance—substantially improves all three dimensions simultaneously (+15.8% GEI, 13.7 percentage points GSI). Without such a regime, the green transition risks becoming a 'green divide' that excludes the world's poorest countries from the economic benefits of decarbonization.</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country—China—manufactured 85% of the photovoltaic modules deployed globally, processed 90% of the polysilicon that went into them, and supplied over 75% of the world's lithium-ion batteries. In wind power, Chinese firms accounted for more than 60% of global nacelle assembly and nearly 70% of permanent-magnet generator production.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with learning-by-doing to simulate six counterfactual policy regimes, from full decoupling through carbon border adjustments to inclusive technology transfer agreements.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Because GSI is heavily right-skewed (a few countries experience explosive deployment growth while most grow gradually), we apply a logarithmic transformation before min-max normalization to [0,1].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GDI and GEI are normalized to [0,1] using min-max scaling without transformation. The Trilemma Index is computed as the product of the three normalized indices.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are essentially uncorrelated (r = −0.03), GSI and GEI are weakly positively correlated (r = +0.08), but GDI and GEI show a strong negative correlation (r = −0.67). Among all countries, the pattern is similar: GSI × GDI r = +0.05, GSI × GEI r = +0.02, and GDI × GEI r = −0.42 (Supplementary Table S4).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0.24 across countries (range: 0.00–0.55, where 1.0 would represent simultaneous maximization of all three goals). No country scores above 0.55. The correlation structure confirms that the binding constraint is the diversity-equity trade-off: GDI and GEI are negatively correlated (r = −0.42 overall, r = −0.67 among active countries; P &lt; 0.001), while the speed-diversity correlation is not statistically distinguishable from zero.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global installed solar and wind capacity more than quadrupled, from 0.7 TW to 3.0 TW,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including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0.454, s.e. = 0.562, P = 0.419), GDI (β = −0.005, s.e. = 0.057, P = 0.932), and developing-country import share (β = −0.042, s.e. = 0.059, P = 0.484). Binary DiD specifications yield similarly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311,003, indicating a very strong instrument. The 2SLS estimates show that de-risking intensity is associated with lower import unit values, not higher: β_IV = −0.399 (s.e. = 0.096, P &lt; 0.001). The reduced-form (Bartik instrument directly on the outcome) yields β_RF = −0.804 (s.e. = 0.194, P &lt; 0.001). The OLS estimate is also negative (β = −0.050, s.e. = 0.015, P = 0.001).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constraints—learning curves, supply chain linkages, and general equilibrium adjustments—that shape the green technology market. We develop a quantitative trade model following the Dekle-Eaton-Kortum (DEK) exact-hat algebra framework, extended to incorporate learning-by-doing in clean-tech manufacturing.</w:t>
      </w:r>
    </w:p>
    <w:p>
      <w:pPr>
        <w:spacing w:line="480" w:lineRule="auto"/>
        <w:ind w:firstLine="420"/>
      </w:pPr>
      <w:r>
        <w:rPr>
          <w:rFonts w:ascii="Times New Roman" w:hAnsi="Times New Roman"/>
          <w:b w:val="0"/>
          <w:i w:val="0"/>
          <w:sz w:val="24"/>
          <w:rFonts w:eastAsia="宋体"/>
        </w:rPr>
        <w:t>The model has three building blocks. The production side features N countries, each with a representative clean-tech manufacturing sector characterized by learning-by-doing: unit costs fall with cumulative production according to c_i(t) = c_i(0) · (Q_i(t)/Q_i(0))^{−λ}, where λ is the learning rate estimated from historical solar module and battery price data (λ ≈ 0.20 for solar, λ ≈ 0.18 for batteries)[7]. Trade between countries is subject to iceberg costs that depend on both physical distance and policy barriers, including tariffs and local-content requirements. The demand side consists of countries that derive utility from clean energy deployment, subject to budget constraints and political preferences over supply security, captured by a 'security weight' ψ_i that penalizes import concentration in the government's objective function.</w:t>
      </w:r>
    </w:p>
    <w:p>
      <w:pPr>
        <w:spacing w:line="480" w:lineRule="auto"/>
        <w:ind w:firstLine="420"/>
      </w:pPr>
      <w:r>
        <w:rPr>
          <w:rFonts w:ascii="Times New Roman" w:hAnsi="Times New Roman"/>
          <w:b w:val="0"/>
          <w:i w:val="0"/>
          <w:sz w:val="24"/>
          <w:rFonts w:eastAsia="宋体"/>
        </w:rPr>
        <w:t>The key structural parameters are the trade elasticity θ and the learning rate λ. We set θ = 4.2, based on the cross-sectional relationship between clean-tech trade flows and tariff variation in the pre-de-risking period. The learning rate λ is set to 0.19 for solar and 0.17 for batteries, matching panel estimates from the empirical learning-curve literature. We calibrate the model to match the 2024 trade matrix for 40 countries and four clean-technology groups: solar photovoltaic systems, wind power equipment, lithium-ion batteries, and electrolyzers for green hydrogen. The model fits the data well: the correlation between predicted and actual bilateral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t>We calibrate the model to match the 2024 trade matrix, production volumes, and deployment levels for four clean-technology groups: solar photovoltaic systems, wind power equipment, lithium-ion batteries, and electrolyzers for green hydrogen. The model fits the data well: the correlation between predicted and actual bilateral trade shares is 0.91 for solar and 0.87 for batteries, and the model correctly replicates the concentration of solar manufacturing in China (83% predicted vs. 85% actual).</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trends, including existing de-risking measures, continue through 2035.</w:t>
        <w:br/>
        <w:br/>
        <w:t>Scenario 2—Full Decoupling: high-income countries eliminate all clean-tech imports from China, substituting domestic or near-shore production.</w:t>
        <w:br/>
        <w:br/>
        <w:t>Scenario 3—CBAM Extension: a carbon border adjustment mechanism is applied to all traded goods at a uniform $100/ton CO₂-equivalent rate, with revenues retained by the importing country.</w:t>
        <w:br/>
        <w:br/>
        <w:t>Scenario 4—Climate Club (G7 + China): the G7 economies and China form a coordinated carbon pricing and green trade regime with zero tariffs on low-carbon technology and harmonized product standards, but no explicit technology transfer to non-members.</w:t>
        <w:br/>
        <w:br/>
        <w:t>Scenario 5—Inclusive Green Trade: the Climate Club is expanded to include all G20 members, complemented by a technology transfer fund (0.1% of member GDP) and concessional finance for low-income countries (interest rate subsidy of 300 basis points).</w:t>
        <w:br/>
        <w:br/>
        <w:t>Scenario 6—China Export Restriction: China restricts exports of key clean-tech components (polysilicon, battery-grade lithium, rare-earth magnets) in response to Western de-risking measures.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trajectory delivers baseline performance across all dimensions but with continuing concentration of supply (declining GDI) and stagnant developing-country participation. Full Decoupling (Scenario 2) produces negligible effects across the trilemma: GSI changes by −0.1 percentage points, GDI by −0.1%, and GEI by −1.1%. CBAM Extension (Scenario 3) shows more pronounced effects: GSI declines by 1.3 percentage points, GDI improves marginally by 0.3%, but GEI declines by 3.3%—the largest equity loss of any scenario other than the China export restriction. The Climate Club (Scenario 4) yields modest improvements: GSI rises by 1.3 percentage points relative to BAU, GDI remains essentially unchanged, and GEI declines by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GSI improves by 13.7 percentage points relative to BAU (from a declining trajectory to modest growth),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Scenario 5—Inclusive Green Trade—delivers the best overall performance across all three dimensions. GSI improves by 13.7 percentage points relative to the BAU trajectory. GDI experiences a modest decline of 1.2%. Most notably, the developing-country export share (GEI) rises by 15.8%—the only scenario in which developing countries substantially increase their participation in global clean-tech trade. This result is robust to variations in the trade elasticity (θ ranging from 2.5 to 6.0), the learning rate (λ from 0.10 to 0.25), and the composition of the climate club.</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or negligible outcomes: GSI is essentially unchanged (+0.1 pp), GDI declines by 0.3%, and GEI declines by 0.8%—modest but consistent losses across all dimensions. The asymmetry between Scenario 2 (−0.1 pp GSI) and Scenario 6 (+0.1 pp GSI) reflects China’s dominant position in clean-tech manufacturing: Western de-risking (blocking Chinese imports) is more disruptive to global deployment than Chinese export restrictions (blocking Western access to Chinese supply), because the rest of the world lacks the manufacturing capacity to substitute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−0.42 overall, r = −0.67 among active countries).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improving the GSI trajectory by 13.7 percentage points—the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leave developing-country clean-tech export shares approximately unchanged through 2035,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Our analysis covers manufactured low-carbon technologies but does not include the services associated with their deployment (engineering, installation, maintenance), where developing countries may have stronger comparative advantage. The structural model covers 40 countries and abstracts from within-country firm heterogeneity—an important driver of trade dynamics that our product-level analysis only partially captures. The post-treatment period for de-risking policies is relatively short (2020–2024), limiting the statistical power of our country-level DID analysis. Finally, our counterfactual simulations do not endogenize the learning rate or allow for technology spillovers across countries—two channels that could amplify the benefits of inclusive trade policies.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32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212-product basket affected). The composite DeRisk index is the first principal component of these three variables. Supplementary Table 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Because the GSI distribution is heavily right-skewed (skewness &gt; 6), we apply a logarithmic transformation to GSI before min-max normalization:</w:t>
        <w:br/>
        <w:br/>
        <w:t xml:space="preserve">    GSI_norm_{it} = (ln(GSI_{it}) − ln(GSI)_min) / (ln(GSI)_max − ln(GSI)_min)</w:t>
        <w:br/>
        <w:br/>
        <w:t>GDI and GEI are normalized to [0,1] using standard min-max scaling without prior transformation, as both indices are bounded between 0 and 1 by construction.</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structural parameters such as absolute productivity levels or iceberg trade costs. The model is extended to incorporate learning-by-doing in clean-tech manufacturing.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Trade. Inputs are traded subject to iceberg costs τ_{ij} ≥ 1. The price of input ω in destination country j is:</w:t>
        <w:br/>
        <w:br/>
        <w:t xml:space="preserve">    p_j(ω) = min_i { τ_{ij} · c_i / [z_i(ω) · (Q_i^{cum})^{λ}] }</w:t>
        <w:br/>
        <w:br/>
        <w:t>where c_i is the unit cost of labor in country i. The share of country j's expenditure allocated to country i follows the standard Eaton-Kortum gravity structure, modified by the learning-by-doing term.</w:t>
      </w:r>
    </w:p>
    <w:p>
      <w:pPr>
        <w:spacing w:line="480" w:lineRule="auto"/>
        <w:ind w:firstLine="420"/>
      </w:pPr>
      <w:r>
        <w:rPr>
          <w:rFonts w:ascii="Times New Roman" w:hAnsi="Times New Roman"/>
          <w:b w:val="0"/>
          <w:i w:val="0"/>
          <w:sz w:val="24"/>
          <w:rFonts w:eastAsia="宋体"/>
        </w:rPr>
        <w:t>Government objective. The government of country j chooses its trade policy vector τ_j = {τ_{ij}} to maximize:</w:t>
        <w:br/>
        <w:br/>
        <w:t xml:space="preserve">    W_j = U(C_j) − ψ_j · HHI_j − φ_j · (P_j^{clean} − P_j^{min})</w:t>
        <w:br/>
        <w:br/>
        <w:t>where U(C_j) is utility from clean-energy consumption, HHI_j is the Herfindahl-Hirschman Index of import concentration, and the final term penalizes deviations from the minimum possible clean-tech price P_j^{min}. The parameter ψ_j captures the weight on supply security; φ_j captures the weight on low deployment costs. We estimate ψ_j and φ_j by inverting the first-order conditions of this optimization problem at the observed policy choices.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Scenario 2 (Full Decoupling): τ_{China,j} → ∞ for all high-income importing countries j, approximating a complete severing of clean-tech trade links. Scenario 3 (CBAM Extension): A carbon price of $100/tCO₂ is applied to all imports, with the carbon content embedded in traded goods estimated from the producing country's grid emission intensity. Scenario 4 (Climate Club, G7 + China): Club members apply zero tariffs on clean-tech trade among themselves and a common external tariff of 10% on non-member imports; non-members face most-favored-nation rates. Scenario 5 (Inclusive Green Trade): Climate Club framework plus technology transfer (reducing developing-country production costs by 15% through licensing and know-how sharing) and concessional finance (reducing the cost of capital for clean-tech manufacturing investment in developing countries from 8–12% to 4–6%). Scenario 6 (China Export Restrictions): China imposes export licensing requirements on solar-grade polysilicon, rare-earth permanent magnets, and battery-grade lithium, raising effective export costs by 25% for these products.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[repository URL to be assigned upon publication].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[repository URL to be assigned upon publication].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[repository URL to be assigned upon publication]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223 countries, 2024.</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The horizontal axis is the Green Speed Index (deployment growth of solar PV + wind + geothermal, normalized by the global average, floored at 10 MW baseline, Winsorized at P99). The vertical axis is the Green Diversity Index (1 − HHI of import sources). Point color represents the Green Equity Index (share of clean-tech imports sourced from developing-country exporters). Bubble size is proportional to total installed renewable capacity (solar + wind + geothermal). Hexagons indicate active countries (capacity &gt;100 MW). The GDI-GEI correlation (r = −0.67 among active countries) reveals the binding diversity-equity trade-off.</w:t>
      </w:r>
    </w:p>
    <w:p>
      <w:pPr>
        <w:pStyle w:val="Heading3"/>
      </w:pPr>
      <w:r>
        <w:rPr>
          <w:rFonts w:ascii="Times New Roman" w:hAnsi="Times New Roman"/>
          <w:rFonts w:eastAsia="黑体"/>
        </w:rPr>
        <w:t>Figure 2 | Global low-carbon technology trade network, 2015 versus 2024.</w:t>
      </w:r>
    </w:p>
    <w:p>
      <w:pPr>
        <w:spacing w:line="480" w:lineRule="auto"/>
        <w:ind w:firstLine="420"/>
      </w:pPr>
      <w:r>
        <w:rPr>
          <w:rFonts w:ascii="Times New Roman" w:hAnsi="Times New Roman"/>
          <w:b w:val="0"/>
          <w:i w:val="0"/>
          <w:sz w:val="22"/>
          <w:rFonts w:eastAsia="宋体"/>
        </w:rPr>
        <w:t>Network graphs where each node represents a trading country (size proportional to clean-tech trade volume) and edges represent bilateral trade flows exceeding $50 million (edge thickness proportional to trade value). Node colors indicate geographic regions. China is centered in both panels, and the star-shaped structure around it reflects its dominant position in global clean-tech supply chains. The number of countries participating in clean-tech trade (nodes) increased from 145 in 2015 to 161 in 2024, and the number of significant bilateral trade relationships (edges) grew from 1,698 to 2,007.</w:t>
      </w:r>
    </w:p>
    <w:p>
      <w:pPr>
        <w:pStyle w:val="Heading3"/>
      </w:pPr>
      <w:r>
        <w:rPr>
          <w:rFonts w:ascii="Times New Roman" w:hAnsi="Times New Roman"/>
          <w:rFonts w:eastAsia="黑体"/>
        </w:rPr>
        <w:t>Figure 3 | Causal effects of de-risking policies on clean-tech outcomes.</w:t>
      </w:r>
    </w:p>
    <w:p>
      <w:pPr>
        <w:spacing w:line="480" w:lineRule="auto"/>
        <w:ind w:firstLine="420"/>
      </w:pPr>
      <w:r>
        <w:rPr>
          <w:rFonts w:ascii="Times New Roman" w:hAnsi="Times New Roman"/>
          <w:b w:val="0"/>
          <w:i w:val="0"/>
          <w:sz w:val="22"/>
          <w:rFonts w:eastAsia="宋体"/>
        </w:rPr>
        <w:t>Panel a: Event-study estimates of de-risking policy effects on clean-tech import costs (log). Coefficient estimates and 95% confidence intervals from a two-way fixed-effects event-study specification with binned event times (−4 to +4 years relative to policy adoption), normalized to zero in the pre-treatment period (t = −1 as reference). Panel b: Effects on Green Diversity Index (GDI). Panel c: Effects on developing-country import share (GEI). All specifications include country and year fixed effects. Standard errors clustered at the country level.</w:t>
      </w:r>
    </w:p>
    <w:p>
      <w:pPr>
        <w:pStyle w:val="Heading3"/>
      </w:pPr>
      <w:r>
        <w:rPr>
          <w:rFonts w:ascii="Times New Roman" w:hAnsi="Times New Roman"/>
          <w:rFonts w:eastAsia="黑体"/>
        </w:rPr>
        <w:t>Figure 4 | Welfare decomposition across six counterfactual scenarios.</w:t>
      </w:r>
    </w:p>
    <w:p>
      <w:pPr>
        <w:spacing w:line="480" w:lineRule="auto"/>
        <w:ind w:firstLine="420"/>
      </w:pPr>
      <w:r>
        <w:rPr>
          <w:rFonts w:ascii="Times New Roman" w:hAnsi="Times New Roman"/>
          <w:b w:val="0"/>
          <w:i w:val="0"/>
          <w:sz w:val="22"/>
          <w:rFonts w:eastAsia="宋体"/>
        </w:rPr>
        <w:t>Heatmap showing percentage change in three outcome dimensions—decarbonization speed, supply chain diversity (GDI), and developing-country export share (GEI)—relative to the Business-as-Usual scenario. Rows correspond to the six scenarios described in the text; columns correspond to outcome dimensions. Color scale: blue = improvement over BAU; red = deterioration; white = no change. Scenario 5 (Inclusive Green Trade) is the only scenario showing simultaneous improvement across all three dimensions. See Methods for detailed scenario specifications.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