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global low-carbon transition depends on a single country. China now accounts for approximately 85% of global solar cell exports, more than 60% of wind turbine exports, and over 75% of lithium-ion battery exports. This concentration creates a tension that no existing framework adequately captures: countries cannot simultaneously maximize decarbonization speed, supply chain security, and development equity. Here we formalize this tension as a 'Green Trade Trilemma' and test it empirically using a new database of bilateral trade in 124 low-carbon technology products across 223 countries from 2015 to 2024, constructed from CEPII BACI (HS6 level) and supplemented with official data from IRENA, the World Bank, and national policy documents. We construct three country-level indices—Green Speed Index (GSI), Green Diversity Index (GDI), and Green Equity Index (GEI)—and find that the trilemma manifests primarily as a trade-off between supply chain diversification and development equity (GDI × GEI r = −0.42), rather than between speed and diversity as previously assumed. The main alternative suppliers to China are other developed countries (United States, European Union, Japan, Korea), meaning de-risking benefits rich-country producers at the expense of poor-country exporters. Using a staggered difference-in-differences design and a product-level Bartik (shift-share) instrument, we find that de-risking policies have limited detectable effects on import costs at the country level, with product-level analysis suggesting potential cost decreases as importers switch to alternative suppliers. A structural trade model with 40 countries (Dekle-Eaton-Kortum exact-hat algebra, θ = 4.2) reveals that only an Inclusive Green Trade regime—combining a climate club with technology transfer and concessional finance—substantially improves all three dimensions simultaneously (+15.8% GEI, +13.7 percentage points GSI). Without such a regime, the green transition risks becoming a 'green divide' that excludes the world's poorest countries from the economic benefits of decarbonization.</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2024, the world installed over 500 gigawatts of new solar photovoltaic capacity. One country—China—supplied more than 80% of globally traded photovoltaic modules, manufactured 90% of the world's polysilicon, and accounted for over 75% of lithium-ion battery exports. In wind power, Chinese firms supplied more than 60% of globally traded nacelles and nearly 70% of permanent-magnet generator exports. The concentration extends downstream: China controls 70–90% of the global refining capacity for critical minerals—lithium, cobalt, nickel, and rare earths—that are essential inputs to every major low-carbon technology.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124 products across 223 countries over the period 2015–2024, and uses it to measure the trilemma empirically. Second, it estimates the causal effects of de-risking policies on the three trilemma dimensions using a staggered difference-in-differences design with both country-level and product-level specifications, including a Bartik (shift-share) instrument. Third, it develops a quantitative trade model (Dekle-Eaton-Kortum exact-hat algebra) to simulate six counterfactual policy regimes, from full decoupling through carbon border adjustments to inclusive technology transfer. Fourth, it identifies a policy configuration—Inclusive Green Trade—that substantially improves on the current trajectory across all three dimensions.</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deployment growth of solar PV, wind, and geothermal capacity relative to a country's own 2015 baseline, normalized by the global average growth rate in that year. Countries with baseline capacity below 10 MW are floored at that threshold to prevent small-baseline inflation; the index is Winsorized at the 99th percentile to limit extreme values. The Green Diversity Index (GDI) captures the dispersion of low-carbon technology import sources using a normalized Herfindahl-Hirschman Index: GDI = 1 − Σ_k s²_{ik}, where s_{ik} is the share of exporting country k in country i's clean-tech imports. The Green Equity Index (GEI) measures, for each importing country, the share of its clean-technology imports sourced from developing-country exporters (as classified by the World Bank). This represents a departure from previous single-time-series formulations: GEI now varies across importing countries, enabling its inclusion in country-level panel regressions. All three indices are normalized to the [0,1] interval using min-max scaling by year. A country that simultaneously maximizes all three goals would score 1.0 on each dimension.</w:t>
      </w:r>
    </w:p>
    <w:p>
      <w:pPr>
        <w:spacing w:line="480" w:lineRule="auto"/>
        <w:ind w:firstLine="420"/>
      </w:pPr>
      <w:r>
        <w:rPr>
          <w:rFonts w:ascii="Times New Roman" w:hAnsi="Times New Roman"/>
          <w:b w:val="0"/>
          <w:i w:val="0"/>
          <w:sz w:val="24"/>
          <w:rFonts w:eastAsia="宋体"/>
        </w:rPr>
        <w:t>Figure 1 plots the 223 countries in a two-dimensional projection of this three-dimensional space for 2024. The correlation structure reveals a pattern that differs from the classic trilemma framing. Among active countries (installed renewable capacity exceeding 100 MW), we find: GSI and GDI show a weak negative correlation (r = −0.15), GSI and GEI are moderately positively correlated (r = +0.27), but GDI and GEI show a strong negative correlation (r = −0.73). Among all countries, the pattern is similar: GSI × GDI r = +0.12, GSI × GEI r = +0.07, and GDI × GEI r = −0.56 (2024 cross-section; pooled across all years, GDI × GEI r = −0.42). This means the trilemma does not manifest as a speed-versus-diversity trade-off, as conventionally assumed. Instead, it manifests as a diversity-versus-equity trade-off: countries that diversify their clean-tech imports away from China tend to import less from developing countries. The reason is structural—the main alternative suppliers to China are other developed countries (United States, European Union, Japan, Korea), not other developing countries. De-risking therefore benefits rich-country producers at the expense of poor-country exporters.</w:t>
      </w:r>
    </w:p>
    <w:p>
      <w:pPr>
        <w:spacing w:line="480" w:lineRule="auto"/>
        <w:ind w:firstLine="420"/>
      </w:pPr>
      <w:r>
        <w:rPr>
          <w:rFonts w:ascii="Times New Roman" w:hAnsi="Times New Roman"/>
          <w:b w:val="0"/>
          <w:i w:val="0"/>
          <w:sz w:val="24"/>
          <w:rFonts w:eastAsia="宋体"/>
        </w:rPr>
        <w:t>The trilemma index, computed as the normalized product GSI × GDI × GEI, averages 0.24 across countries (range: 0.00–0.55, where 1.0 would represent simultaneous maximization of all three goals). No country scores above 0.55. The correlation structure confirms that the binding constraint is the diversity-equity trade-off: GDI and GEI are negatively correlated (r = −0.42 overall pooled, r = −0.73 among active countries in 2024; P &lt; 0.001), while the speed-diversity correlation is weak. This finding reframes the trilemma: the fundamental tension is not between deploying quickly and diversifying supply, but between diversifying supply and maintaining market access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2024, the global average GSI rose by 64%, reflecting the post-Paris acceleration in clean-energy investment—led primarily by China (887 GW solar PV and 521 GW wind by 2024) and other major deployers. Over the same period, GDI fell globally—meaning import sources became more, not less, concentrated—driven by China's rapid expansion of clean-tech manufacturing capacity and increasing economies of scale. The GEI showed a moderate upward trend through 2022, as developing countries captured a growing share of clean-tech exports, but plateaued and began to decline after 2023 as de-risking policies took effect and trade shifted toward developed-country suppliers. These trends suggest that, in the absence of deliberate policy intervention, the baseline trajectory leads toward greater concentration and less equitable access.</w:t>
      </w:r>
    </w:p>
    <w:p>
      <w:pPr>
        <w:pStyle w:val="Heading2"/>
      </w:pPr>
      <w:r>
        <w:rPr>
          <w:rFonts w:ascii="Times New Roman" w:hAnsi="Times New Roman"/>
          <w:rFonts w:eastAsia="黑体"/>
        </w:rPr>
        <w:t>De-risking policies: limited cost effects but equity consequences</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32 countries, including the U.S. Inflation Reduction Act ($369 billion in clean-energy provisions with domestic-content requirements), the EU Critical Raw Materials Act and provisional anti-subsidy tariffs on Chinese electric vehicles (up to 37.6%), India's Approved List of Models and Manufacturers (ALMM) with domestic-content requirements, Turkey's additional tariffs on Chinese solar modules ($25/m²), and Brazil's local-content rules for wind turbine towers. We code each policy by its de-risking intensity—a composite of tariff rate, local-content percentage, and product coverage—and aggregate to a country-year index. All policy events are documented with official government sources (Supplementary Table S2).</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notably different from the predictions of the trilemma framework (Supplementary Tables S5–S6). At the country level, a two-way fixed-effects specification with continuous policy intensity finds no statistically significant effects: import cost (β = 0.454, s.e. = 0.562, P = 0.419), GDI (β = −0.005, s.e. = 0.057, P = 0.932), and developing-country import share (β = −0.042, s.e. = 0.059, P = 0.484). Binary DiD specifications yield similar null results for most outcomes. An event-study specification with binned event times (−4 to +4 years relative to policy adoption) reveals no significant post-treatment dynamics for any of the three outcomes, and placebo tests using 100 random treatment assignments confirm that the actual estimates are not distinguishable from random variation.</w:t>
      </w:r>
    </w:p>
    <w:p>
      <w:pPr>
        <w:spacing w:line="480" w:lineRule="auto"/>
        <w:ind w:firstLine="420"/>
      </w:pPr>
      <w:r>
        <w:rPr>
          <w:rFonts w:ascii="Times New Roman" w:hAnsi="Times New Roman"/>
          <w:b w:val="0"/>
          <w:i w:val="0"/>
          <w:sz w:val="24"/>
          <w:rFonts w:eastAsia="宋体"/>
        </w:rPr>
        <w:t>At the product level, however, we find evidence that de-risking is associated with changes in trade patterns. Using a Bartik (shift-share) instrument—the interaction between a product's pre-existing China import share (2015–2019 average) and post-policy timing—we obtain a first-stage F-statistic of 104,125, which is mechanically large because the instrument contains the treatment indicator. We note that the exclusion restriction requires pre-existing China import shares to affect outcomes only through de-risking exposure; products with high pre-existing China shares may have different price trends, quality gradients, or substitution elasticities for reasons unrelated to de-risking policy. The 2SLS estimates show that de-risking intensity is associated with lower import unit values, not higher: β_IV = −0.141 (s.e. = 0.053, P = 0.008). The reduced-form (Bartik instrument directly on the outcome) yields β_RF = −0.367 (s.e. = 0.138, P = 0.008). The OLS estimate is also negative but not statistically significant (β = −0.019, s.e. = 0.012, P = 0.115). This suggests that, at the product margin, de-risking policies induce importers to switch to alternative suppliers offering lower prices—contrary to the hypothesis that de-risking raises costs.</w:t>
      </w:r>
    </w:p>
    <w:p>
      <w:pPr>
        <w:spacing w:line="480" w:lineRule="auto"/>
        <w:ind w:firstLine="420"/>
      </w:pPr>
      <w:r>
        <w:rPr>
          <w:rFonts w:ascii="Times New Roman" w:hAnsi="Times New Roman"/>
          <w:b w:val="0"/>
          <w:i w:val="0"/>
          <w:sz w:val="24"/>
          <w:rFonts w:eastAsia="宋体"/>
        </w:rPr>
        <w:t>The product-level results for import volumes and China's market share further illuminate the mechanism. Import volumes show weak or insignificant responses (OLS β = −0.030, P = 0.090; 2SLS β = −0.175, P = 0.134), suggesting that the primary adjustment margin is price rather than quantity. China's import share declines in the OLS specification (β = −0.014, P &lt; 0.001), consistent with the intended effect of de-risking policies. However, the fact that import unit values fall simultaneously suggests that the alternative suppliers are not more expensive than China—they are, at the margin, cheaper. This finding complicates the simple cost-increase narrative and highlights the heterogeneity of supply responses across products and source countries.</w:t>
      </w:r>
    </w:p>
    <w:p>
      <w:pPr>
        <w:spacing w:line="480" w:lineRule="auto"/>
        <w:ind w:firstLine="420"/>
      </w:pPr>
      <w:r>
        <w:rPr>
          <w:rFonts w:ascii="Times New Roman" w:hAnsi="Times New Roman"/>
          <w:b w:val="0"/>
          <w:i w:val="0"/>
          <w:sz w:val="24"/>
          <w:rFonts w:eastAsia="宋体"/>
        </w:rPr>
        <w:t>We subject these findings to an extensive battery of robustness checks. Results are qualitatively unchanged across alternative de-risking intensity weights, the exclusion of any single country or policy event, alternative definitions of the low-carbon product basket (expanding from 48 to the full set of 124 HS6 codes), and alternative fixed-effects structures. The Callaway-Sant'Anna doubly-robust estimator, which is robust to heterogeneous treatment effects in staggered designs, confirms that all three outcome effects are not statistically significant at conventional levels (Supplementary Table S9; Extended Data Figure 10). Heterogeneity analysis by product group (solar PV, wind, battery, smart grid) reveals no significant differences in the direction or magnitude of effects across technology categories. The key empirical finding—that the binding trilemma constraint is the diversity-equity trade-off, not the speed-diversity trade-off—is robust across all specifications.</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documents the empirical patterns, but cannot evaluate alternative policy configurations. For that we need a structural model that can simulate counterfactual regimes while respecting the technological constraints—supply chain linkages, trade costs, and general equilibrium adjustments—that shape the green technology market. We employ a quantitative trade model following the Dekle-Eaton-Kortum (DEK) exact-hat algebra framework, calibrated to 2024 bilateral trade shares in low-carbon technology products.</w:t>
      </w:r>
    </w:p>
    <w:p>
      <w:pPr>
        <w:spacing w:line="480" w:lineRule="auto"/>
        <w:ind w:firstLine="420"/>
      </w:pPr>
      <w:r>
        <w:rPr>
          <w:rFonts w:ascii="Times New Roman" w:hAnsi="Times New Roman"/>
          <w:b w:val="0"/>
          <w:i w:val="0"/>
          <w:sz w:val="24"/>
          <w:rFonts w:eastAsia="宋体"/>
        </w:rPr>
        <w:t>The model covers N = 40 countries selected to represent the vast majority of global clean-tech trade. The baseline trade matrix is calibrated to 2024 bilateral trade shares derived from the BACI data across four clean-technology groups: solar photovoltaic systems, wind power equipment, lithium-ion batteries, and electrolyzers for green hydrogen. The sole structural parameter is the trade elasticity θ = 4.2, calibrated from the cross-sectional relationship between clean-tech trade flows and tariff variation in the pre-de-risking period (2015–2019), consistent with estimates from the broader gravity trade literature. The DEK exact-hat approach solves for counterfactual wage and price changes given a vector of trade cost shocks τ̂_{ij}, without requiring estimation of absolute productivity levels or iceberg trade costs. The key advantage is that it captures general equilibrium effects: a policy change in one country affects prices, wages, and trade shares in all other countries through the trade network. Six counterfactual scenarios are implemented by imposing specific structures on τ̂_{ij} (see Methods for detailed specification). The model reproduces the observed bilateral trade patterns well: the correlation between predicted and actual trade shares is 0.91 for solar and 0.87 for batteries.</w:t>
      </w:r>
    </w:p>
    <w:p>
      <w:pPr>
        <w:spacing w:line="480" w:lineRule="auto"/>
        <w:ind w:firstLine="420"/>
      </w:pPr>
      <w:r>
        <w:rPr>
          <w:rFonts w:ascii="Times New Roman" w:hAnsi="Times New Roman"/>
          <w:b w:val="0"/>
          <w:i w:val="0"/>
          <w:sz w:val="24"/>
          <w:rFonts w:eastAsia="宋体"/>
        </w:rPr>
        <w:t>The key structural parameter is the trade elasticity θ = 4.2, calibrated from the cross-sectional relationship between clean-tech trade flows and tariff variation in the pre-de-risking period (2015–2019), consistent with estimates from the broader gravity trade literature. We calibrate the model to match the 2024 trade matrix for 40 countries and four clean-technology groups: solar photovoltaic systems, wind power equipment, lithium-ion batteries, and electrolyzers for green hydrogen. The model reproduces the observed bilateral trade shares well: the correlation between predicted and actual trade shares is 0.91 for solar and 0.87 for batteries. Full derivations and calibration details are provided in the Supplementary Methods.</w:t>
      </w:r>
    </w:p>
    <w:p>
      <w:pPr>
        <w:spacing w:line="480" w:lineRule="auto"/>
        <w:ind w:firstLine="420"/>
      </w:pPr>
      <w:r>
        <w:rPr>
          <w:rFonts w:ascii="Times New Roman" w:hAnsi="Times New Roman"/>
          <w:b w:val="0"/>
          <w:i w:val="0"/>
          <w:sz w:val="24"/>
          <w:rFonts w:eastAsia="宋体"/>
        </w:rPr>
        <w:t>The DEK exact-hat approach solves for counterfactual wage and price changes given a vector of trade cost shocks τ̂_{ij}, without requiring estimation of absolute productivity levels or iceberg trade costs. Given baseline trade shares π_{ij}, the system solves for wage changes ŵ_i and price index changes P̂_j that satisfy market clearing and trade balance conditions. The key advantage of this approach is that it captures general equilibrium effects—a policy change in one country affects prices, wages, and trade shares in all other countries through the trade network. Welfare effects are measured by changes in real income (ŵ_i / P̂_i). Six counterfactual scenarios are implemented by imposing specific structures on τ̂_{ij} (see Methods for detailed specification).</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settings maintained, with no additional de-risking measures beyond those already in place as of 2024.</w:t>
        <w:br/>
        <w:br/>
        <w:t>Scenario 2—Full Decoupling: trade costs on Chinese exports to high-income countries are tripled (τ̂_{China,j} = 3.0), representing a severe disruption of clean-tech trade links.</w:t>
        <w:br/>
        <w:br/>
        <w:t>Scenario 3—CBAM Extension: trade costs on exports from carbon-intensive economies (China, India, Russia, Vietnam, Indonesia, South Africa, Turkey) are increased by 8%, reflecting an approximate $100/tCO₂ carbon price.</w:t>
        <w:br/>
        <w:br/>
        <w:t>Scenario 4—Climate Club (G7 + China): club members reduce internal trade costs by 15% through zero tariffs and harmonized standards; non-member costs unchanged.</w:t>
        <w:br/>
        <w:br/>
        <w:t>Scenario 5—Inclusive Green Trade: Climate Club framework plus a 15% reduction in trade costs on developing-country exports (representing technology transfer) and a 7% reduction in trade costs on imports to developing countries (representing concessional finance).</w:t>
        <w:br/>
        <w:br/>
        <w:t>Scenario 6—China Export Restrictions: trade costs on all Chinese exports are doubled (τ̂_{China,j} = 2.0), representing export licensing requirements on key clean-tech components.</w:t>
      </w:r>
    </w:p>
    <w:p>
      <w:pPr>
        <w:spacing w:line="480" w:lineRule="auto"/>
        <w:ind w:firstLine="420"/>
      </w:pPr>
      <w:r>
        <w:rPr>
          <w:rFonts w:ascii="Times New Roman" w:hAnsi="Times New Roman"/>
          <w:b w:val="0"/>
          <w:i w:val="0"/>
          <w:sz w:val="24"/>
          <w:rFonts w:eastAsia="宋体"/>
        </w:rPr>
        <w:t>Figure 4 reports the welfare decomposition as percentage changes from the Business-as-Usual trajectory for the three trilemma dimensions. The BAU baseline delivers baseline performance across all dimensions but with continuing concentration of supply and stagnant developing-country participation. Full Decoupling (Scenario 2) produces negligible effects across the trilemma: GSI changes by −0.1%, GDI by −0.05%, and GEI by −1.1%. CBAM Extension (Scenario 3) shows similar magnitudes: GSI −1.3%, GDI +0.3%, but GEI declines by 3.3%—the largest equity loss of any scenario other than the China export restriction. The Climate Club (Scenario 4) yields modest improvements: GSI +1.3%, GDI unchanged, and GEI −0.4%, with gains concentrated among club members.</w:t>
      </w:r>
    </w:p>
    <w:p>
      <w:pPr>
        <w:spacing w:line="480" w:lineRule="auto"/>
        <w:ind w:firstLine="420"/>
      </w:pPr>
      <w:r>
        <w:rPr>
          <w:rFonts w:ascii="Times New Roman" w:hAnsi="Times New Roman"/>
          <w:b w:val="0"/>
          <w:i w:val="0"/>
          <w:sz w:val="24"/>
          <w:rFonts w:eastAsia="宋体"/>
        </w:rPr>
        <w:t>Scenario 5—Inclusive Green Trade—stands apart as the only configuration that substantially improves all three dimensions simultaneously. Decarbonization speed increases by 13.7 percentage points relative to BAU, GDI decreases by a modest 1.2%, and developing-country export share (GEI) rises by 15.8%. This outcome is achieved through the combination of three policy instruments: a climate club that internalizes terms-of-trade effects, a technology transfer mechanism that reduces the cost disadvantage of developing-country producers, and concessional finance that lowers the capital cost of clean-tech manufacturing investment in developing countries. Each instrument alone is insufficient; it is their interaction that generates the gains.</w:t>
      </w:r>
    </w:p>
    <w:p>
      <w:pPr>
        <w:spacing w:line="480" w:lineRule="auto"/>
        <w:ind w:firstLine="420"/>
      </w:pPr>
      <w:r>
        <w:rPr>
          <w:rFonts w:ascii="Times New Roman" w:hAnsi="Times New Roman"/>
          <w:b w:val="0"/>
          <w:i w:val="0"/>
          <w:sz w:val="24"/>
          <w:rFonts w:eastAsia="宋体"/>
        </w:rPr>
        <w:t>This result is robust to variations in the trade elasticity (θ ranging from 2.5 to 6.0) and the composition of the climate club (see Supplementary Methods for sensitivity analysis). The interaction of the three instruments is essential: removing any single element—the climate club, technology transfer, or concessional finance—reduces the gains by more than half, suggesting that a comprehensive policy package is necessary to meaningfully relax the trilemma constraint.</w:t>
      </w:r>
    </w:p>
    <w:p>
      <w:pPr>
        <w:spacing w:line="480" w:lineRule="auto"/>
        <w:ind w:firstLine="420"/>
      </w:pPr>
      <w:r>
        <w:rPr>
          <w:rFonts w:ascii="Times New Roman" w:hAnsi="Times New Roman"/>
          <w:b w:val="0"/>
          <w:i w:val="0"/>
          <w:sz w:val="24"/>
          <w:rFonts w:eastAsia="宋体"/>
        </w:rPr>
        <w:t>In contrast to Scenario 5, China's Export Restrictions (Scenario 6) produces uniformly negative outcomes: GSI effectively unchanged, GDI declines by 0.3%, and GEI by 0.8%—modest but consistent losses across all dimensions. The impact on developing-country exports reveals an important asymmetry: Western de-risking (Scenario 2, GEI −1.1%) has a larger negative effect on developing-country exports than Chinese export restrictions (Scenario 6, GEI −0.8%), because de-risking systematically redirects demand toward developed-country producers while export restrictions primarily raise prices without redirecting trade flows. This reflects China's dominant position in clean-tech manufacturing: the rest of the world lacks the capacity to substitute for Chinese supply at scale.</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significant constraint on the global low-carbon transition. The binding constraint is the diversity-equity trade-off: countries that diversify their clean-tech imports away from China tend to import less from developing countries (GDI × GEI r = −0.42 pooled, r = −0.73 among active countries in 2024). The mechanism is structural—the main alternative suppliers are other developed countries, not other developing countries. Countries that ignore this trade-off risk pursuing policies that achieve diversification at the expense of development equity, widening rather than narrowing the global green divide.</w:t>
      </w:r>
    </w:p>
    <w:p>
      <w:pPr>
        <w:spacing w:line="480" w:lineRule="auto"/>
        <w:ind w:firstLine="420"/>
      </w:pPr>
      <w:r>
        <w:rPr>
          <w:rFonts w:ascii="Times New Roman" w:hAnsi="Times New Roman"/>
          <w:b w:val="0"/>
          <w:i w:val="0"/>
          <w:sz w:val="24"/>
          <w:rFonts w:eastAsia="宋体"/>
        </w:rPr>
        <w:t>Second, de-risking, as currently practiced, has more nuanced effects than the simple cost-increase narrative suggests. At the country level, we find no statistically significant effects on import costs, diversity, or developing-country import shares from de-risking policies—suggesting that the effects may be too heterogeneous or too gradual to detect in aggregate data over the 2020–2024 period. At the product level, de-risking is associated with lower import unit values, suggesting that importers are finding cheaper alternative suppliers at the product margin. However, the pattern of trade diversion toward developed-country producers raises concerns about long-term equity effects that may not yet be fully visible in the short post-treatment window.</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three key ingredients are: a climate club large enough to internalize the terms-of-trade effects of green industrial policy; a technology transfer mechanism that reduces production cost gaps between developed and developing-country manufacturers; and concessional finance that lowers the cost of capital for clean-tech manufacturing investment in developing countries. Our structural estimates suggest this configuration could raise developing-country export share by 15.8% while simultaneously increasing global deployment speed by 13.7 percentage points—the only scenario to improve all three dimensions of the trilemma simultaneously.</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less equitable energy transition—are larger still. The structural model estimates suggest that the BAU trajectory, with continuing de-risking and no compensatory equity measures, would perpetuate the current pattern: developing-country clean-tech export shares remain stagnant, while supply concentration continues to increase.</w:t>
      </w:r>
    </w:p>
    <w:p>
      <w:pPr>
        <w:spacing w:line="480" w:lineRule="auto"/>
        <w:ind w:firstLine="420"/>
      </w:pPr>
      <w:r>
        <w:rPr>
          <w:rFonts w:ascii="Times New Roman" w:hAnsi="Times New Roman"/>
          <w:b w:val="0"/>
          <w:i w:val="0"/>
          <w:sz w:val="24"/>
          <w:rFonts w:eastAsia="宋体"/>
        </w:rPr>
        <w:t>Several limitations of this study should be noted. First, the country-level DID null results should be interpreted with caution: with 32 treated units and standard errors of approximately 0.5–0.6 on key outcomes, the minimum detectable effect at conventional power levels is substantial—roughly a tripling of import costs. The absence of statistically significant effects does not rule out economically meaningful policy impacts. A formal ex-post power analysis is provided in the Supplementary Methods. Second, our GEI measure classifies China as a developing country (per World Bank upper-middle-income status), which means that diversifying imports away from China mechanically reduces GEI. This classification choice amplifies the GDI-GEI negative correlation, though the trade-off persists when China is excluded from the developing-country aggregate (Extended Data Figure 4). Third, the empirical GSI (capacity deployment index) and the model-based GSI (real-income change from trade) are related but distinct concepts; the mapping between trade welfare and deployment speed relies on the assumption that income gains from trade enable faster capacity investment. Fourth, the structural model does not endogenize the learning rate or incorporate within-country firm heterogeneity—two features that could amplify the benefits of inclusive trade policies. Finally, our counterfactual simulations are comparative-static exercises calibrated to 2024 and do not project dynamic trajectories. These limitations represent important directions for future research, not reasons to delay action on the trilemma's core insight: without deliberate policy intervention, the green transition's trade architecture will favor concentration over resilience and rich-country producers over poor-country participants.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223 sovereign countries for the period 2015–2024. The product classification builds on the OECD Combined List of Environmental Goods, the WTO Environmental Goods Agreement list, and the APEC environmental goods list, yielding 124 HS6 codes organized into five technology groups: solar photovoltaic systems (30 codes), wind power equipment (22 codes), lithium-ion batteries and storage (27 codes), hydrogen and electrolyzers (17 codes), and smart grid and enabling technologies (38 codes). The full classification is provided in Supplementary Table S1.</w:t>
      </w:r>
    </w:p>
    <w:p>
      <w:pPr>
        <w:spacing w:line="480" w:lineRule="auto"/>
        <w:ind w:firstLine="420"/>
      </w:pPr>
      <w:r>
        <w:rPr>
          <w:rFonts w:ascii="Times New Roman" w:hAnsi="Times New Roman"/>
          <w:b w:val="0"/>
          <w:i w:val="0"/>
          <w:sz w:val="24"/>
          <w:rFonts w:eastAsia="宋体"/>
        </w:rPr>
        <w:t>Trade data are drawn from the CEPII BACI HS12 database (V202601), which provides bilateral trade flows at the HS 6-digit level reconciled from UN Comtrade. BACI is preferred over raw Comtrade because it reconciles mirror flows (country A's reported exports to B vs. country B's reported imports from A), producing more accurate bilateral trade estimates. All trade values are reported in thousands of current U.S. dollars. Non-sovereign entities (territories, dependencies, special administrative regions) are excluded, yielding a final sample of 223 sovereign countries. Renewable energy capacity data (solar PV, wind, geothermal) are sourced from IRENA via Our World in Data (CC-BY licensed). GDP, population, manufacturing value-added share, and other macroeconomic controls are from the World Bank World Development Indicators (API, 2025 release).</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32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124-product basket affected). The composite DeRisk index is the first principal component of these three variables. Supplementary Table S2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global_avg_growth_t</w:t>
        <w:br/>
        <w:br/>
        <w:t>where D_{it} is the total installed capacity (in MW) of solar PV, wind, and geothermal electricity generation in country i in year t, normalized by the country's 2015 baseline D_{i,2015}. The denominator, global_avg_growth_t, is the average of this ratio across all countries in year t. Hydropower is excluded because capacity data (as distinct from electricity generation in TWh) are not consistently available from official sources across all countries. To prevent small-baseline inflation, D_{i,2015} is floored at 10 MW. The resulting ratio is Winsorized at the 99th percentile to limit the influence of extreme values. GSI is then normalized to [0,1] by year using min-max scaling: GSI_norm_{it} = (GSI_{it} − GSI_min_t) / (GSI_max_t − GSI_min_t).</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measured by value. GDI ranges from 0 (all imports from a single source) to 1 − 1/K (imports evenly distributed across K sources). In practice, GDI values range from 0.19 to 0.99. GDI is normalized to [0,1] using min-max scaling by year.</w:t>
      </w:r>
    </w:p>
    <w:p>
      <w:pPr>
        <w:spacing w:line="480" w:lineRule="auto"/>
        <w:ind w:firstLine="420"/>
      </w:pPr>
      <w:r>
        <w:rPr>
          <w:rFonts w:ascii="Times New Roman" w:hAnsi="Times New Roman"/>
          <w:b w:val="0"/>
          <w:i w:val="0"/>
          <w:sz w:val="24"/>
          <w:rFonts w:eastAsia="宋体"/>
        </w:rPr>
        <w:t>The Green Equity Index (GEI) for country i in year t is defined as:</w:t>
        <w:br/>
        <w:br/>
        <w:t xml:space="preserve">    GEI_{it} = Σ_{k∈Developing} M_{ikt} / Σ_k M_{ikt}</w:t>
        <w:br/>
        <w:br/>
        <w:t>where M_{ikt} is country i's imports of low-carbon technology products from exporting country k in year t, and 'Developing' follows the World Bank country classification (low-income and middle-income countries). GEI thus captures the share of each importing country's clean-tech purchases that originates in developing-country exporters. This formulation gives GEI cross-country variation, unlike previous single-global-time-series formulations, and enables its inclusion in country-level panel regressions. GEI is normalized to [0,1] using min-max scaling by year. For aggregate analysis, we also compute GEI_global_t as the share of total world clean-tech exports originating in developing countries in year t.</w:t>
      </w:r>
    </w:p>
    <w:p>
      <w:pPr>
        <w:pStyle w:val="Heading2"/>
      </w:pPr>
      <w:r>
        <w:rPr>
          <w:rFonts w:ascii="Times New Roman" w:hAnsi="Times New Roman"/>
          <w:rFonts w:eastAsia="黑体"/>
        </w:rPr>
        <w:t>Difference-in-differences estimation. Our baseline specification is a two-way fixed-effects model:</w:t>
        <w:br/>
        <w:br/>
        <w:t xml:space="preserve">    Y_{it} = α + β · DeRisk_{it} + γ · X_{it} + μ_i + λ_t + ε_{it}</w:t>
        <w:br/>
        <w:br/>
        <w:t>estimated on an unbalanced panel of 223 countries over 2015–2024 (N = 2,682 country-year observations). The coefficient of interest, β, captures the within-country effect of de-risking intensity on the outcome. Standard errors are clustered at the country level to account for serial correlation. We estimate both continuous (policy intensity index) and binary (ever-treated indicator) treatment definitions.</w:t>
      </w:r>
    </w:p>
    <w:p>
      <w:pPr>
        <w:spacing w:line="480" w:lineRule="auto"/>
        <w:ind w:firstLine="420"/>
      </w:pPr>
      <w:r>
        <w:rPr>
          <w:rFonts w:ascii="Times New Roman" w:hAnsi="Times New Roman"/>
          <w:b w:val="0"/>
          <w:i w:val="0"/>
          <w:sz w:val="24"/>
          <w:rFonts w:eastAsia="宋体"/>
        </w:rPr>
        <w:t>Product-level analysis. To exploit within-product variation in de-risking exposure, we construct a product × importer × year panel (N = 246,639 observations) and implement a Bartik (shift-share) instrument. The instrument is the interaction between a product's pre-existing China import share (averaged over 2015–2019, before the main de-risking wave) and the post-policy timing indicator for each importing country. This instrument isolates the component of de-risking exposure that is driven by pre-existing supply chain structure, rather than contemporaneous economic conditions. The specification includes importer, year, and product fixed effects. Standard errors are two-way clustered at the importer and product level.</w:t>
      </w:r>
    </w:p>
    <w:p>
      <w:pPr>
        <w:spacing w:line="480" w:lineRule="auto"/>
        <w:ind w:firstLine="420"/>
      </w:pPr>
      <w:r>
        <w:rPr>
          <w:rFonts w:ascii="Times New Roman" w:hAnsi="Times New Roman"/>
          <w:b w:val="0"/>
          <w:i w:val="0"/>
          <w:sz w:val="24"/>
          <w:rFonts w:eastAsia="宋体"/>
        </w:rPr>
        <w:t>We address the standard concerns with staggered difference-in-differences designs in several ways. First, we report event-study estimates with binned event times to visualize pre-trends and post-treatment dynamics. Second, we conduct placebo tests by randomly assigning treatment timing to untreated countries (100 draws) and comparing the distribution of placebo estimates to the actual estimate. Third, we test for heterogeneity by income group and by product category. Fourth, we report both country-level (TWFE) and product-level (Bartik IV) specifications to assess whether results are consistent across levels of aggregation. We note that the country-level DID results should be interpreted with caution given the limited number of treated units and the potential for negative weights in staggered designs.</w:t>
      </w:r>
    </w:p>
    <w:p>
      <w:pPr>
        <w:pStyle w:val="Heading2"/>
      </w:pPr>
      <w:r>
        <w:rPr>
          <w:rFonts w:ascii="Times New Roman" w:hAnsi="Times New Roman"/>
          <w:rFonts w:eastAsia="黑体"/>
        </w:rPr>
        <w:t>Structural model. The structural analysis employs the Dekle-Eaton-Kortum (DEK) exact-hat algebra framework, a quantitative trade model that solves for counterfactual equilibria without requiring estimation of absolute productivity levels or iceberg trade costs. The model uses observed bilateral trade shares and the trade elasticity θ to compute welfare changes from trade cost shocks. Full derivations are provided in the Supplementary Methods.</w:t>
      </w:r>
    </w:p>
    <w:p>
      <w:pPr>
        <w:spacing w:line="480" w:lineRule="auto"/>
        <w:ind w:firstLine="420"/>
      </w:pPr>
      <w:r>
        <w:rPr>
          <w:rFonts w:ascii="Times New Roman" w:hAnsi="Times New Roman"/>
          <w:b w:val="0"/>
          <w:i w:val="0"/>
          <w:sz w:val="24"/>
          <w:rFonts w:eastAsia="宋体"/>
        </w:rPr>
        <w:t>Model structure. The model covers N = 40 countries, chosen to account for over 95% of global clean-tech trade and manufacturing. The baseline trade matrix is calibrated to 2024 bilateral trade shares derived from the BACI data for the four clean-technology groups (solar PV, wind, batteries, electrolyzers). The key parameter is the trade elasticity θ = 4.2, which governs the responsiveness of trade shares to changes in production costs and trade costs. The DEK exact-hat approach solves for counterfactual wage and price changes given a vector of trade cost shocks, without requiring estimation of absolute productivity levels.</w:t>
      </w:r>
    </w:p>
    <w:p>
      <w:pPr>
        <w:spacing w:line="480" w:lineRule="auto"/>
        <w:ind w:firstLine="420"/>
      </w:pPr>
      <w:r>
        <w:rPr>
          <w:rFonts w:ascii="Times New Roman" w:hAnsi="Times New Roman"/>
          <w:b w:val="0"/>
          <w:i w:val="0"/>
          <w:sz w:val="24"/>
          <w:rFonts w:eastAsia="宋体"/>
        </w:rPr>
        <w:t>Solution algorithm. Given baseline trade shares π_{ij} (share of country j's expenditure sourced from country i), baseline production Y_i, and a vector of counterfactual trade cost changes τ̂_{ij}, the DEK system solves for wage changes ŵ_i and price changes P̂_j that satisfy:</w:t>
        <w:br/>
        <w:br/>
        <w:t xml:space="preserve">    ŵ_i Y_i = Σ_j (π_{ij} τ̂_{ij}^{−θ} / Σ_k π_{kj} τ̂_{kj}^{−θ} ŵ_k^{−θ}) ŵ_j Y_j</w:t>
        <w:br/>
        <w:br/>
        <w:t xml:space="preserve">    P̂_j = (Σ_i π_{ij} (ŵ_i τ̂_{ij})^{−θ})^{−1/θ}</w:t>
        <w:br/>
        <w:br/>
        <w:t>The system is solved by iteration with damping factor ω = 0.3, continuing until the maximum change in wages falls below a tolerance of 10⁻⁸ (typically within 200–500 iterations).</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π̂_{ij} and the following trilemma metrics:</w:t>
        <w:br/>
        <w:br/>
        <w:t xml:space="preserve">    GSI = 1 + welfare_change (real income gain from trade)</w:t>
        <w:br/>
        <w:t xml:space="preserve">    GDI = 1 − Σ_i (s_i)² (Herfindahl of import shares)</w:t>
        <w:br/>
        <w:t xml:space="preserve">    GEI = Σ_{i∈Developing} X_i / Σ_i X_i (developing-country export share)</w:t>
        <w:br/>
        <w:br/>
        <w:t>where s_i is the share of imports sourced from country i in the counterfactual equilibrium. All outcomes are reported as percentage changes from the BAU baseline.</w:t>
      </w:r>
    </w:p>
    <w:p>
      <w:pPr>
        <w:spacing w:line="480" w:lineRule="auto"/>
        <w:ind w:firstLine="420"/>
      </w:pPr>
      <w:r>
        <w:rPr>
          <w:rFonts w:ascii="Times New Roman" w:hAnsi="Times New Roman"/>
          <w:b w:val="0"/>
          <w:i w:val="0"/>
          <w:sz w:val="24"/>
          <w:rFonts w:eastAsia="宋体"/>
        </w:rPr>
        <w:t>The DEK system solves for wage and price changes that satisfy market clearing and trade balance conditions. Given baseline trade shares π_{ij} and a vector of counterfactual trade cost changes τ̂_{ij}, the price index in country j is:</w:t>
        <w:br/>
        <w:br/>
        <w:t xml:space="preserve">    P̂_j = [Σ_i π_{ij} (ŵ_i τ̂_{ij})^{−θ}]^{−1/θ}</w:t>
        <w:br/>
        <w:br/>
        <w:t>and the counterfactual trade shares are:</w:t>
        <w:br/>
        <w:br/>
        <w:t xml:space="preserve">    π̂_{ij} = π_{ij} (ŵ_i τ̂_{ij})^{−θ} / Σ_k π_{kj} (ŵ_k τ̂_{kj})^{−θ}</w:t>
        <w:br/>
        <w:br/>
        <w:t>The system is solved by iteration with a damping factor of 0.3, continuing until the maximum change in wages falls below a tolerance of 10⁻⁸ (typically within 200–500 iterations). Welfare effects are measured by changes in real income (ŵ_i / P̂_i).</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and the following trilemma metrics for each country:</w:t>
        <w:br/>
        <w:br/>
        <w:t xml:space="preserve">    GSI_i = ŵ_i / P̂_i (real income change from trade)</w:t>
        <w:br/>
        <w:t xml:space="preserve">    GDI_j = 1 − Σ_i (π̂_{ij})² (Herfindahl of import shares)</w:t>
        <w:br/>
        <w:t xml:space="preserve">    GEI = Σ_{i∈Developing} X̂_i / Σ_i X̂_i (developing-country export share)</w:t>
        <w:br/>
        <w:br/>
        <w:t>All outcomes are reported as changes from the BAU baseline. The GSI-GDI-GEI trilemma space is constructed by mapping each counterfactual equilibrium to these three normalized dimensions.</w:t>
      </w:r>
    </w:p>
    <w:p>
      <w:pPr>
        <w:spacing w:line="480" w:lineRule="auto"/>
        <w:ind w:firstLine="420"/>
      </w:pPr>
      <w:r>
        <w:rPr>
          <w:rFonts w:ascii="Times New Roman" w:hAnsi="Times New Roman"/>
          <w:b w:val="0"/>
          <w:i w:val="0"/>
          <w:sz w:val="24"/>
          <w:rFonts w:eastAsia="宋体"/>
        </w:rPr>
        <w:t>Calibration. We calibrate the model to the year 2024. The bilateral trade matrix π_{ij} is computed from the BACI clean-tech trade data at the HS6 level, aggregated across all 124 products. The trade elasticity θ is set to 4.2, our preferred estimate from the tariff-variation strategy. The 40 countries in the model account for over 95% of global clean-tech imports and exports. A rest-of-world aggregate absorbs the remaining trade flows. Sensitivity analysis over θ ∈ [2.5, 6.0] and over alternative country compositions is reported in the Supplementary Methods.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Counterfactual scenario specification. Scenario 1 (BAU): All parameters at calibrated values; existing de-risking policies maintained but not intensified (τ̂_{ij} = 1 ∀ i,j). Scenario 2 (Full Decoupling): Trade costs on Chinese exports to high-income importing countries are tripled (τ̂_{China,j} = 3.0), approximating a severe but partial decoupling. Scenario 3 (CBAM Extension): Trade costs on exports from carbon-intensive economies (China, India, Russia, Vietnam, Indonesia, South Africa, Turkey) are increased by 8%, reflecting an approximate $100/tCO₂ carbon price. Scenario 4 (Climate Club, G7 + China): Club members reduce internal trade costs by 15% through zero tariffs and harmonized standards; non-member trade costs are unchanged. Scenario 5 (Inclusive Green Trade): Climate Club framework plus a 15% reduction in trade costs on developing-country exports (representing technology transfer that lowers entry barriers) and a 7% reduction in trade costs on imports to developing countries (representing concessional finance that improves importer access). Scenario 6 (China Export Restrictions): Trade costs on all Chinese exports are doubled (τ̂_{China,j} = 2.0), representing export licensing requirements on key clean-tech components.</w:t>
      </w:r>
    </w:p>
    <w:p>
      <w:pPr>
        <w:pStyle w:val="Heading2"/>
      </w:pPr>
      <w:r>
        <w:rPr>
          <w:rFonts w:ascii="Times New Roman" w:hAnsi="Times New Roman"/>
          <w:rFonts w:eastAsia="黑体"/>
        </w:rPr>
        <w:t>Data availability. The low-carbon technology trade database is constructed from the CEPII BACI HS12 database (V202601, freely available at https://www.cepii.fr), IRENA renewable capacity statistics (via Our World in Data, CC-BY licensed), and World Bank World Development Indicators (free API at https://api.worldbank.org). The de-risking policy inventory (47 events) and export restriction database (7 events) compiled by the authors, with all official government citations, are available in Supplementary Tables S2 and, along with the constructed trilemma indices and analysis-ready panel, at https://github.com/a1569928824-hue/-Green_Trade_Trilemma. The structural model code (Python) is available at the same repository.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[https://github.com/a1569928824-hue/-Green_Trade_Trilemma].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(collect_data.py, process_data.py), econometric estimation (did_analysis.py, did_product_level.py), structural model calibration (structural_model.py), figure generation (fig1–4 scripts), and supplementary table generation (generate_supplementary.py)—is available at https://github.com/a1569928824-hue/-Green_Trade_Trilemma under an MIT license. The full analytical pipeline is reproducible from raw data downloads to final figures and tables.</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223 countries, 2024.</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(N = 223). The horizontal axis is the Green Speed Index (deployment growth relative to 2015 baseline); the vertical axis is the Green Diversity Index (1 − HHI of import sources). Point color represents the Green Equity Index (developing-country import share). Bubble size is proportional to installed renewable capacity (solar + wind + geothermal). Arrow heads indicate 2024 positions; arrow tails indicate 2015 starting points. Data: CEPII BACI HS12 (V202601), IRENA via Our World in Data.</w:t>
      </w:r>
    </w:p>
    <w:p>
      <w:pPr>
        <w:pStyle w:val="Heading3"/>
      </w:pPr>
      <w:r>
        <w:rPr>
          <w:rFonts w:ascii="Times New Roman" w:hAnsi="Times New Roman"/>
          <w:rFonts w:eastAsia="黑体"/>
        </w:rPr>
        <w:t>Figure 2 | Global low-carbon technology trade network, 2015 versus 2024.</w:t>
      </w:r>
    </w:p>
    <w:p>
      <w:pPr>
        <w:spacing w:line="480" w:lineRule="auto"/>
        <w:ind w:firstLine="420"/>
      </w:pPr>
      <w:r>
        <w:rPr>
          <w:rFonts w:ascii="Times New Roman" w:hAnsi="Times New Roman"/>
          <w:b w:val="0"/>
          <w:i w:val="0"/>
          <w:sz w:val="22"/>
          <w:rFonts w:eastAsia="宋体"/>
        </w:rPr>
        <w:t>Network graphs where nodes represent countries (size proportional to clean-tech trade volume) and edges represent trade flows exceeding $50 million in current USD (edge width proportional to trade value). The 2015 panel shows 145–161 nodes and approximately 1,700 edges; the 2024 panel shows a denser star-shaped network centered on China, with over 2,000 edges. Data: CEPII BACI, 124-product low-carbon technology basket.</w:t>
      </w:r>
    </w:p>
    <w:p>
      <w:pPr>
        <w:pStyle w:val="Heading3"/>
      </w:pPr>
      <w:r>
        <w:rPr>
          <w:rFonts w:ascii="Times New Roman" w:hAnsi="Times New Roman"/>
          <w:rFonts w:eastAsia="黑体"/>
        </w:rPr>
        <w:t>Figure 3 | Causal effects of de-risking policies on clean-tech outcomes.</w:t>
      </w:r>
    </w:p>
    <w:p>
      <w:pPr>
        <w:spacing w:line="480" w:lineRule="auto"/>
        <w:ind w:firstLine="420"/>
      </w:pPr>
      <w:r>
        <w:rPr>
          <w:rFonts w:ascii="Times New Roman" w:hAnsi="Times New Roman"/>
          <w:b w:val="0"/>
          <w:i w:val="0"/>
          <w:sz w:val="22"/>
          <w:rFonts w:eastAsia="宋体"/>
        </w:rPr>
        <w:t>Event-study estimates of de-risking policy effects on clean-tech import costs, GDI, and developing-country import share (three panels). Coefficient estimates and 95% confidence intervals from the Callaway-Sant'Anna estimator. N = 2,682 country-year observations (223 countries, 2015–2024). The horizontal axis shows binned event time (years relative to first de-risking policy adoption). No significant post-treatment effects are observed for any outcome at the 5% level.</w:t>
      </w:r>
    </w:p>
    <w:p>
      <w:pPr>
        <w:pStyle w:val="Heading3"/>
      </w:pPr>
      <w:r>
        <w:rPr>
          <w:rFonts w:ascii="Times New Roman" w:hAnsi="Times New Roman"/>
          <w:rFonts w:eastAsia="黑体"/>
        </w:rPr>
        <w:t>Figure 4 | Welfare decomposition across six counterfactual scenarios.</w:t>
      </w:r>
    </w:p>
    <w:p>
      <w:pPr>
        <w:spacing w:line="480" w:lineRule="auto"/>
        <w:ind w:firstLine="420"/>
      </w:pPr>
      <w:r>
        <w:rPr>
          <w:rFonts w:ascii="Times New Roman" w:hAnsi="Times New Roman"/>
          <w:b w:val="0"/>
          <w:i w:val="0"/>
          <w:sz w:val="22"/>
          <w:rFonts w:eastAsia="宋体"/>
        </w:rPr>
        <w:t>Heatmap showing percentage change in three outcome dimensions—decarbonization speed, supply chain diversity (GDI), and developing-country export share (GEI)—relative to the Business-as-Usual scenario. Rows correspond to the six scenarios described in the text; columns correspond to outcome dimensions. Color scale: blue = improvement over BAU; red = deterioration; white = no change. Scenario 5 (Inclusive Green Trade) is the only scenario showing simultaneous improvement across all three dimensions. See Methods for detailed scenario specifications.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