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0"/>
        </w:rPr>
        <w:t>The Green Trade Trilemma</w:t>
      </w:r>
    </w:p>
    <w:p>
      <w:pPr>
        <w:jc w:val="center"/>
      </w:pPr>
      <w:r>
        <w:rPr>
          <w:rFonts w:ascii="Times New Roman" w:hAnsi="Times New Roman"/>
          <w:i/>
          <w:sz w:val="28"/>
        </w:rPr>
        <w:t>Climate Ambition, Supply Chain Security, and Development Equity</w:t>
      </w:r>
    </w:p>
    <w:p/>
    <w:p>
      <w:pPr>
        <w:jc w:val="center"/>
      </w:pPr>
      <w:r>
        <w:rPr>
          <w:rFonts w:ascii="Times New Roman" w:hAnsi="Times New Roman"/>
          <w:sz w:val="28"/>
        </w:rPr>
        <w:t>Ning Li</w:t>
      </w:r>
    </w:p>
    <w:p>
      <w:pPr>
        <w:jc w:val="center"/>
      </w:pPr>
      <w:r>
        <w:rPr>
          <w:rFonts w:ascii="Times New Roman" w:hAnsi="Times New Roman"/>
          <w:sz w:val="22"/>
        </w:rPr>
        <w:t>Guangdong Peizheng College, Guangzhou 510830, Guangdong, China</w:t>
      </w:r>
    </w:p>
    <w:p/>
    <w:p>
      <w:pPr>
        <w:jc w:val="center"/>
      </w:pPr>
      <w:r>
        <w:rPr>
          <w:rFonts w:ascii="Times New Roman" w:hAnsi="Times New Roman"/>
          <w:sz w:val="22"/>
        </w:rPr>
        <w:t>Draft: June 04, 2026</w:t>
      </w:r>
    </w:p>
    <w:p/>
    <w:p>
      <w:pPr>
        <w:jc w:val="center"/>
      </w:pPr>
      <w:r>
        <w:rPr>
          <w:rFonts w:ascii="Times New Roman" w:hAnsi="Times New Roman"/>
          <w:i/>
          <w:sz w:val="22"/>
        </w:rPr>
        <w:t>Prepared for submission to Nature</w:t>
      </w:r>
    </w:p>
    <w:p>
      <w:r>
        <w:br w:type="page"/>
      </w:r>
    </w:p>
    <w:p>
      <w:pPr>
        <w:pStyle w:val="Heading1"/>
      </w:pPr>
      <w:r>
        <w:rPr>
          <w:rFonts w:ascii="Times New Roman" w:hAnsi="Times New Roman"/>
          <w:rFonts w:eastAsia="黑体"/>
        </w:rPr>
        <w:t>Abstract</w:t>
      </w:r>
    </w:p>
    <w:p>
      <w:pPr>
        <w:spacing w:line="480" w:lineRule="auto"/>
        <w:ind w:firstLine="420"/>
      </w:pPr>
      <w:r>
        <w:rPr>
          <w:rFonts w:ascii="Times New Roman" w:hAnsi="Times New Roman"/>
          <w:b w:val="0"/>
          <w:i w:val="0"/>
          <w:sz w:val="22"/>
          <w:rFonts w:eastAsia="宋体"/>
        </w:rPr>
        <w:t>The global low-carbon transition depends on a single country. China now accounts for approximately 85% of global solar cell exports, more than 60% of wind turbine exports, and over 75% of lithium-ion battery exports. This concentration creates a tension that no existing framework adequately captures: countries cannot simultaneously maximize decarbonization speed, supply chain security, and development equity. Here we formalize this tension as a 'Green Trade Trilemma' and test it empirically using a new database of bilateral trade in 124 low-carbon technology products across 223 countries from 2015 to 2024, constructed from CEPII BACI (HS6 level) and supplemented with official data from IRENA, the World Bank, and national policy documents. We construct three country-level indices—Green Speed Index (GSI), Green Diversity Index (GDI), and Green Equity Index (GEI)—and find that the trilemma manifests primarily as a trade-off between supply chain diversification and development equity (GDI × GEI r = −0.42), rather than between speed and diversity as previously assumed. The main alternative suppliers to China are other developed countries (United States, European Union, Japan, Korea), meaning de-risking benefits rich-country producers at the expense of poor-country exporters. Using a staggered difference-in-differences design and a product-level Bartik (shift-share) instrument, we find that de-risking policies have limited detectable effects on import costs at the country level, with product-level analysis suggesting potential cost decreases as importers switch to alternative suppliers. A structural trade model with 40 countries (Dekle-Eaton-Kortum exact-hat algebra, θ = 4.2) reveals that only an Inclusive Green Trade regime—combining a climate club with technology transfer and concessional finance—substantially improves all three dimensions simultaneously (+15.8% GEI, +13.7 percentage points GSI). Without such a regime, the green transition risks becoming a 'green divide' that excludes the world's poorest countries from the economic benefits of decarbonization.</w:t>
      </w:r>
    </w:p>
    <w:p>
      <w:r>
        <w:br w:type="page"/>
      </w:r>
    </w:p>
    <w:p>
      <w:pPr>
        <w:pStyle w:val="Heading1"/>
      </w:pPr>
      <w:r>
        <w:rPr>
          <w:rFonts w:ascii="Times New Roman" w:hAnsi="Times New Roman"/>
          <w:rFonts w:eastAsia="黑体"/>
        </w:rPr>
        <w:t>Main Text</w:t>
      </w:r>
    </w:p>
    <w:p>
      <w:pPr>
        <w:spacing w:line="480" w:lineRule="auto"/>
        <w:ind w:firstLine="420"/>
      </w:pPr>
      <w:r>
        <w:rPr>
          <w:rFonts w:ascii="Times New Roman" w:hAnsi="Times New Roman"/>
          <w:b w:val="0"/>
          <w:i w:val="0"/>
          <w:sz w:val="24"/>
          <w:rFonts w:eastAsia="宋体"/>
        </w:rPr>
        <w:t>In 2024, the world installed over 500 gigawatts of new solar photovoltaic capacity. One country—China—supplied more than 80% of globally traded photovoltaic modules, manufactured 90% of the world's polysilicon, and accounted for over 75% of lithium-ion battery exports. In wind power, Chinese firms supplied more than 60% of globally traded nacelles and nearly 70% of permanent-magnet generator exports. The concentration extends downstream: China controls 70–90% of the global refining capacity for critical minerals—lithium, cobalt, nickel, and rare earths—that are essential inputs to every major low-carbon technology.</w:t>
      </w:r>
    </w:p>
    <w:p>
      <w:pPr>
        <w:spacing w:line="480" w:lineRule="auto"/>
        <w:ind w:firstLine="420"/>
      </w:pPr>
      <w:r>
        <w:rPr>
          <w:rFonts w:ascii="Times New Roman" w:hAnsi="Times New Roman"/>
          <w:b w:val="0"/>
          <w:i w:val="0"/>
          <w:sz w:val="24"/>
          <w:rFonts w:eastAsia="宋体"/>
        </w:rPr>
        <w:t>This concentration matters for three reasons. First, it creates a choke point in the global energy transition: a disruption at any node in China's clean-tech supply chain—a factory lockdown, an export control, a shipping bottleneck—propagates to solar farms in Spain, wind parks in Brazil, and battery plants in Michigan within weeks[3]. Second, it generates a new dimension of geopolitical vulnerability at precisely the moment when major economies are committing trillions of dollars to decarbonization[4]. Third, and least appreciated, it excludes the countries that need low-carbon technology most: sub-Saharan Africa, home to 60% of the world's best solar resources, accounts for less than 1% of global solar deployment and an even smaller share of clean-tech trade[5].</w:t>
      </w:r>
    </w:p>
    <w:p>
      <w:pPr>
        <w:spacing w:line="480" w:lineRule="auto"/>
        <w:ind w:firstLine="420"/>
      </w:pPr>
      <w:r>
        <w:rPr>
          <w:rFonts w:ascii="Times New Roman" w:hAnsi="Times New Roman"/>
          <w:b w:val="0"/>
          <w:i w:val="0"/>
          <w:sz w:val="24"/>
          <w:rFonts w:eastAsia="宋体"/>
        </w:rPr>
        <w:t>These three concerns—speed, security, and equity—do not pull in the same direction. A country that maximizes decarbonization speed buys the cheapest and most advanced clean technology available, which today means Chinese manufacturing. A country that prioritizes supply chain security diversifies its import sources, accepting higher costs and slower deployment. A global system that delivers equitable access to clean technology requires large-scale technology transfer and concessional finance—resources that, in the short run, compete with the investments needed to sustain rapid decarbonization in advanced economies. We call this tension the green trade trilemma, and we argue that it constitutes the central unresolved challenge of the post-Paris climate regime.</w:t>
      </w:r>
    </w:p>
    <w:p>
      <w:pPr>
        <w:spacing w:line="480" w:lineRule="auto"/>
        <w:ind w:firstLine="420"/>
      </w:pPr>
      <w:r>
        <w:rPr>
          <w:rFonts w:ascii="Times New Roman" w:hAnsi="Times New Roman"/>
          <w:b w:val="0"/>
          <w:i w:val="0"/>
          <w:sz w:val="24"/>
          <w:rFonts w:eastAsia="宋体"/>
        </w:rPr>
        <w:t>This paper does four things. First, it constructs the first comprehensive database of global low-carbon technology trade covering 124 products across 223 countries over the period 2015–2024, and uses it to measure the trilemma empirically. Second, it estimates the causal effects of de-risking policies on the three trilemma dimensions using a staggered difference-in-differences design with both country-level and product-level specifications, including a Bartik (shift-share) instrument. Third, it develops a quantitative trade model (Dekle-Eaton-Kortum exact-hat algebra) to simulate six counterfactual policy regimes, from full decoupling through carbon border adjustments to inclusive technology transfer. Fourth, it identifies a policy configuration—Inclusive Green Trade—that substantially improves on the current trajectory across all three dimensions.</w:t>
      </w:r>
    </w:p>
    <w:p>
      <w:pPr>
        <w:pStyle w:val="Heading2"/>
      </w:pPr>
      <w:r>
        <w:rPr>
          <w:rFonts w:ascii="Times New Roman" w:hAnsi="Times New Roman"/>
          <w:rFonts w:eastAsia="黑体"/>
        </w:rPr>
        <w:t>The trilemma is visible in trade data</w:t>
      </w:r>
    </w:p>
    <w:p>
      <w:pPr>
        <w:spacing w:line="480" w:lineRule="auto"/>
        <w:ind w:firstLine="420"/>
      </w:pPr>
      <w:r>
        <w:rPr>
          <w:rFonts w:ascii="Times New Roman" w:hAnsi="Times New Roman"/>
          <w:b w:val="0"/>
          <w:i w:val="0"/>
          <w:sz w:val="24"/>
          <w:rFonts w:eastAsia="宋体"/>
        </w:rPr>
        <w:t>We begin by constructing three country-level indices that capture the three poles of the trilemma. The Green Speed Index (GSI) measures the annual deployment growth of solar PV, wind, and geothermal capacity relative to a country's own 2015 baseline, normalized by the global average growth rate in that year. Countries with baseline capacity below 10 MW are floored at that threshold to prevent small-baseline inflation; the index is Winsorized at the 99th percentile to limit extreme values. The Green Diversity Index (GDI) captures the dispersion of low-carbon technology import sources using a normalized Herfindahl-Hirschman Index: GDI = 1 − Σ_k s²_{ik}, where s_{ik} is the share of exporting country k in country i's clean-tech imports. The Green Equity Index (GEI) measures, for each importing country, the share of its clean-technology imports sourced from developing-country exporters (as classified by the World Bank). This represents a departure from previous single-time-series formulations: GEI now varies across importing countries, enabling its inclusion in country-level panel regressions. All three indices are normalized to the [0,1] interval using min-max scaling by year. A country that simultaneously maximizes all three goals would score 1.0 on each dimension.</w:t>
      </w:r>
    </w:p>
    <w:p>
      <w:pPr>
        <w:spacing w:line="480" w:lineRule="auto"/>
        <w:ind w:firstLine="420"/>
      </w:pPr>
      <w:r>
        <w:rPr>
          <w:rFonts w:ascii="Times New Roman" w:hAnsi="Times New Roman"/>
          <w:b w:val="0"/>
          <w:i w:val="0"/>
          <w:sz w:val="24"/>
          <w:rFonts w:eastAsia="宋体"/>
        </w:rPr>
        <w:t>Figure 1 plots the 223 countries in a two-dimensional projection of this three-dimensional space for 2024. The correlation structure reveals a pattern that differs from the classic trilemma framing. Among active countries (installed renewable capacity exceeding 100 MW), we find: GSI and GDI show a weak negative correlation (r = −0.15), GSI and GEI are moderately positively correlated (r = +0.27), but GDI and GEI show a strong negative correlation (r = −0.73). Among all countries, the pattern is similar: GSI × GDI r = +0.12, GSI × GEI r = +0.07, and GDI × GEI r = −0.58 (2024 cross-section; pooled across all years, GDI × GEI r = −0.44). This means the trilemma does not manifest as a speed-versus-diversity trade-off, as conventionally assumed. Instead, it manifests as a diversity-versus-equity trade-off: countries that diversify their clean-tech imports away from China tend to import less from developing countries. The reason is structural—the main alternative suppliers to China are other developed countries (United States, European Union, Japan, Korea), not other developing countries. De-risking therefore benefits rich-country producers at the expense of poor-country exporters.</w:t>
      </w:r>
    </w:p>
    <w:p>
      <w:pPr>
        <w:spacing w:line="480" w:lineRule="auto"/>
        <w:ind w:firstLine="420"/>
      </w:pPr>
      <w:r>
        <w:rPr>
          <w:rFonts w:ascii="Times New Roman" w:hAnsi="Times New Roman"/>
          <w:b w:val="0"/>
          <w:i w:val="0"/>
          <w:sz w:val="24"/>
          <w:rFonts w:eastAsia="宋体"/>
        </w:rPr>
        <w:t>The trilemma index, computed as the normalized product GSI × GDI × GEI, averages 0.24 across countries (range: 0.00–0.55, where 1.0 would represent simultaneous maximization of all three goals). No country scores above 0.55. The correlation structure confirms that the binding constraint is the diversity-equity trade-off: GDI and GEI are negatively correlated (r = −0.44 overall pooled, r = −0.73 among active countries in 2024; P &lt; 0.001), while the speed-diversity correlation is weak. This finding reframes the trilemma: the fundamental tension is not between deploying quickly and diversifying supply, but between diversifying supply and maintaining market access for developing-country producers.</w:t>
      </w:r>
    </w:p>
    <w:p>
      <w:pPr>
        <w:spacing w:line="480" w:lineRule="auto"/>
        <w:ind w:firstLine="420"/>
      </w:pPr>
      <w:r>
        <w:rPr>
          <w:rFonts w:ascii="Times New Roman" w:hAnsi="Times New Roman"/>
          <w:b w:val="0"/>
          <w:i w:val="0"/>
          <w:sz w:val="24"/>
          <w:rFonts w:eastAsia="宋体"/>
        </w:rPr>
        <w:t>The temporal evolution sharpens the picture. Between 2015 and 2024, the global average GSI rose by 64%, reflecting the post-Paris acceleration in clean-energy investment—led primarily by China (887 GW solar PV and 521 GW wind by 2024) and other major deployers. Over the same period, GDI fell globally—meaning import sources became more, not less, concentrated—driven by China's rapid expansion of clean-tech manufacturing capacity and increasing economies of scale. The GEI showed a moderate upward trend through 2022, as developing countries captured a growing share of clean-tech exports, but plateaued and began to decline after 2023 as de-risking policies took effect and trade shifted toward developed-country suppliers. These trends suggest that, in the absence of deliberate policy intervention, the baseline trajectory leads toward greater concentration and less equitable access.</w:t>
      </w:r>
    </w:p>
    <w:p>
      <w:pPr>
        <w:pStyle w:val="Heading2"/>
      </w:pPr>
      <w:r>
        <w:rPr>
          <w:rFonts w:ascii="Times New Roman" w:hAnsi="Times New Roman"/>
          <w:rFonts w:eastAsia="黑体"/>
        </w:rPr>
        <w:t>De-risking policies: limited cost effects but equity consequences</w:t>
      </w:r>
    </w:p>
    <w:p>
      <w:pPr>
        <w:spacing w:line="480" w:lineRule="auto"/>
        <w:ind w:firstLine="420"/>
      </w:pPr>
      <w:r>
        <w:rPr>
          <w:rFonts w:ascii="Times New Roman" w:hAnsi="Times New Roman"/>
          <w:b w:val="0"/>
          <w:i w:val="0"/>
          <w:sz w:val="24"/>
          <w:rFonts w:eastAsia="宋体"/>
        </w:rPr>
        <w:t>To estimate how de-risking policies affect the three trilemma dimensions, we exploit the staggered introduction of clean-tech trade restrictions across countries between 2020 and 2024. Our policy inventory identifies 47 distinct de-risking events across 32 countries, including the U.S. Inflation Reduction Act ($369 billion in clean-energy provisions with domestic-content requirements), the EU Critical Raw Materials Act and provisional anti-subsidy tariffs on Chinese electric vehicles (up to 37.6%), India's Approved List of Models and Manufacturers (ALMM) with domestic-content requirements, Turkey's additional tariffs on Chinese solar modules ($25/m²), and Brazil's local-content rules for wind turbine towers. We code each policy by its de-risking intensity—a composite of tariff rate, local-content percentage, and product coverage—and aggregate to a country-year index. All policy events are documented with official government sources (Supplementary Table S2).</w:t>
      </w:r>
    </w:p>
    <w:p>
      <w:pPr>
        <w:spacing w:line="480" w:lineRule="auto"/>
      </w:pPr>
      <w:r>
        <w:rPr>
          <w:rFonts w:ascii="Times New Roman" w:hAnsi="Times New Roman"/>
          <w:b w:val="0"/>
          <w:i/>
          <w:sz w:val="22"/>
          <w:rFonts w:eastAsia="宋体"/>
        </w:rPr>
        <w:t>Y_{it} = α + β · DeRisk_{it} + γ · X_{it} + μ_i + λ_t + ε_{it}</w:t>
      </w:r>
    </w:p>
    <w:p>
      <w:pPr>
        <w:spacing w:line="480" w:lineRule="auto"/>
        <w:ind w:firstLine="420"/>
      </w:pPr>
      <w:r>
        <w:rPr>
          <w:rFonts w:ascii="Times New Roman" w:hAnsi="Times New Roman"/>
          <w:b w:val="0"/>
          <w:i w:val="0"/>
          <w:sz w:val="24"/>
          <w:rFonts w:eastAsia="宋体"/>
        </w:rPr>
        <w:t>where Y_{it} is the outcome (deployment cost, GDI, or developing-country import share) for country i in year t, DeRisk_{it} is the policy intensity index, X_{it} is a vector of time-varying controls (GDP per capita, manufacturing share, renewable resource endowment), and μ_i and λ_t are country and year fixed effects.</w:t>
      </w:r>
    </w:p>
    <w:p>
      <w:pPr>
        <w:spacing w:line="480" w:lineRule="auto"/>
        <w:ind w:firstLine="420"/>
      </w:pPr>
      <w:r>
        <w:rPr>
          <w:rFonts w:ascii="Times New Roman" w:hAnsi="Times New Roman"/>
          <w:b w:val="0"/>
          <w:i w:val="0"/>
          <w:sz w:val="24"/>
          <w:rFonts w:eastAsia="宋体"/>
        </w:rPr>
        <w:t>The results are notably different from the predictions of the trilemma framework (Supplementary Tables S5–S6). At the country level, a two-way fixed-effects specification with continuous policy intensity finds no statistically significant effects: import cost (β = 0.454, s.e. = 0.562, P = 0.419), GDI (β = −0.005, s.e. = 0.057, P = 0.932), and developing-country import share (β = −0.042, s.e. = 0.059, P = 0.484). Binary DiD specifications yield similar null results for most outcomes. An event-study specification with binned event times (−4 to +4 years relative to policy adoption) reveals no significant post-treatment dynamics for any of the three outcomes, and placebo tests using 100 random treatment assignments confirm that the actual estimates are not distinguishable from random variation.</w:t>
      </w:r>
    </w:p>
    <w:p>
      <w:pPr>
        <w:spacing w:line="480" w:lineRule="auto"/>
        <w:ind w:firstLine="420"/>
      </w:pPr>
      <w:r>
        <w:rPr>
          <w:rFonts w:ascii="Times New Roman" w:hAnsi="Times New Roman"/>
          <w:b w:val="0"/>
          <w:i w:val="0"/>
          <w:sz w:val="24"/>
          <w:rFonts w:eastAsia="宋体"/>
        </w:rPr>
        <w:t>At the product level, however, we find evidence that de-risking is associated with changes in trade patterns. Using a Bartik (shift-share) instrument—the interaction between a product's pre-existing China import share (2015–2019 average) and post-policy timing—we obtain a first-stage F-statistic of 311,003, which is mechanically large because the instrument contains the treatment indicator. We note that the exclusion restriction requires pre-existing China import shares to affect outcomes only through de-risking exposure; products with high pre-existing China shares may have different price trends, quality gradients, or substitution elasticities for reasons unrelated to de-risking policy. The 2SLS estimates show that de-risking intensity is associated with lower import unit values, not higher: β_IV = −0.399 (s.e. = 0.096, P &lt; 0.001). The reduced-form (Bartik instrument directly on the outcome) yields β_RF = −0.804 (s.e. = 0.194, P &lt; 0.001). The OLS estimate is also negative (β = −0.050, s.e. = 0.015, P = 0.001). This suggests that, at the product margin, de-risking policies induce importers to switch to alternative suppliers offering lower prices—contrary to the hypothesis that de-risking raises costs.</w:t>
      </w:r>
    </w:p>
    <w:p>
      <w:pPr>
        <w:spacing w:line="480" w:lineRule="auto"/>
        <w:ind w:firstLine="420"/>
      </w:pPr>
      <w:r>
        <w:rPr>
          <w:rFonts w:ascii="Times New Roman" w:hAnsi="Times New Roman"/>
          <w:b w:val="0"/>
          <w:i w:val="0"/>
          <w:sz w:val="24"/>
          <w:rFonts w:eastAsia="宋体"/>
        </w:rPr>
        <w:t>The product-level results for import volumes and China's market share further illuminate the mechanism. Import volumes show weak or insignificant responses (OLS β = −0.030, P = 0.090; 2SLS β = −0.175, P = 0.134), suggesting that the primary adjustment margin is price rather than quantity. China's import share declines in the OLS specification (β = −0.014, P &lt; 0.001), consistent with the intended effect of de-risking policies. However, the fact that import unit values fall simultaneously suggests that the alternative suppliers are not more expensive than China—they are, at the margin, cheaper. This finding complicates the simple cost-increase narrative and highlights the heterogeneity of supply responses across products and source countries.</w:t>
      </w:r>
    </w:p>
    <w:p>
      <w:pPr>
        <w:spacing w:line="480" w:lineRule="auto"/>
        <w:ind w:firstLine="420"/>
      </w:pPr>
      <w:r>
        <w:rPr>
          <w:rFonts w:ascii="Times New Roman" w:hAnsi="Times New Roman"/>
          <w:b w:val="0"/>
          <w:i w:val="0"/>
          <w:sz w:val="24"/>
          <w:rFonts w:eastAsia="宋体"/>
        </w:rPr>
        <w:t>We subject these findings to an extensive battery of robustness checks. Results are qualitatively unchanged across alternative de-risking intensity weights, the exclusion of any single country or policy event, alternative definitions of the low-carbon product basket (expanding from 48 to the full set of 124 HS6 codes), and alternative fixed-effects structures. The Callaway-Sant'Anna doubly-robust estimator, which is robust to heterogeneous treatment effects in staggered designs, confirms that all three outcome effects are not statistically significant at conventional levels (Supplementary Table S9; Extended Data Figure 10). Heterogeneity analysis by product group (solar PV, wind, battery, smart grid) reveals no significant differences in the direction or magnitude of effects across technology categories. The key empirical finding—that the binding trilemma constraint is the diversity-equity trade-off, not the speed-diversity trade-off—is robust across all specifications.</w:t>
      </w:r>
    </w:p>
    <w:p>
      <w:pPr>
        <w:pStyle w:val="Heading2"/>
      </w:pPr>
      <w:r>
        <w:rPr>
          <w:rFonts w:ascii="Times New Roman" w:hAnsi="Times New Roman"/>
          <w:rFonts w:eastAsia="黑体"/>
        </w:rPr>
        <w:t>A structural model of the green technology market</w:t>
      </w:r>
    </w:p>
    <w:p>
      <w:pPr>
        <w:spacing w:line="480" w:lineRule="auto"/>
        <w:ind w:firstLine="420"/>
      </w:pPr>
      <w:r>
        <w:rPr>
          <w:rFonts w:ascii="Times New Roman" w:hAnsi="Times New Roman"/>
          <w:b w:val="0"/>
          <w:i w:val="0"/>
          <w:sz w:val="24"/>
          <w:rFonts w:eastAsia="宋体"/>
        </w:rPr>
        <w:t>The reduced-form evidence documents the empirical patterns, but cannot evaluate alternative policy configurations. For that we need a structural model that can simulate counterfactual regimes while respecting the technological constraints—supply chain linkages, trade costs, and general equilibrium adjustments—that shape the green technology market. We employ a quantitative trade model following the Dekle-Eaton-Kortum (DEK) exact-hat algebra framework, calibrated to 2024 bilateral trade shares in low-carbon technology products.</w:t>
      </w:r>
    </w:p>
    <w:p>
      <w:pPr>
        <w:spacing w:line="480" w:lineRule="auto"/>
        <w:ind w:firstLine="420"/>
      </w:pPr>
      <w:r>
        <w:rPr>
          <w:rFonts w:ascii="Times New Roman" w:hAnsi="Times New Roman"/>
          <w:b w:val="0"/>
          <w:i w:val="0"/>
          <w:sz w:val="24"/>
          <w:rFonts w:eastAsia="宋体"/>
        </w:rPr>
        <w:t>The model has three building blocks. The production side features N countries, each with a representative clean-tech manufacturing sector characterized by learning-by-doing: unit costs fall with cumulative production according to c_i(t) = c_i(0) · (Q_i(t)/Q_i(0))^{−λ}, where λ is the learning rate estimated from historical solar module and battery price data (λ ≈ 0.20 for solar, λ ≈ 0.18 for batteries)[7]. Trade between countries is subject to iceberg costs that depend on both physical distance and policy barriers, including tariffs and local-content requirements. The demand side consists of countries that derive utility from clean energy deployment, subject to budget constraints and political preferences over supply security, captured by a 'security weight' ψ_i that penalizes import concentration in the government's objective function.</w:t>
      </w:r>
    </w:p>
    <w:p>
      <w:pPr>
        <w:spacing w:line="480" w:lineRule="auto"/>
        <w:ind w:firstLine="420"/>
      </w:pPr>
      <w:r>
        <w:rPr>
          <w:rFonts w:ascii="Times New Roman" w:hAnsi="Times New Roman"/>
          <w:b w:val="0"/>
          <w:i w:val="0"/>
          <w:sz w:val="24"/>
          <w:rFonts w:eastAsia="宋体"/>
        </w:rPr>
        <w:t>The key structural parameter is the trade elasticity θ = 4.2, calibrated from the cross-sectional relationship between clean-tech trade flows and tariff variation in the pre-de-risking period (2015–2019), consistent with estimates from the broader gravity trade literature. We calibrate the model to match the 2024 trade matrix for 40 countries and four clean-technology groups: solar photovoltaic systems, wind power equipment, lithium-ion batteries, and electrolyzers for green hydrogen. The model reproduces the observed bilateral trade shares well: the correlation between predicted and actual trade shares is 0.91 for solar and 0.87 for batteries. Full derivations and calibration details are provided in the Supplementary Methods.</w:t>
      </w:r>
    </w:p>
    <w:p>
      <w:pPr>
        <w:spacing w:line="480" w:lineRule="auto"/>
        <w:ind w:firstLine="420"/>
      </w:pPr>
      <w:r>
        <w:rPr>
          <w:rFonts w:ascii="Times New Roman" w:hAnsi="Times New Roman"/>
          <w:b w:val="0"/>
          <w:i w:val="0"/>
          <w:sz w:val="24"/>
          <w:rFonts w:eastAsia="宋体"/>
        </w:rPr>
        <w:t>The DEK exact-hat approach solves for counterfactual wage and price changes given a vector of trade cost shocks τ̂_{ij}, without requiring estimation of absolute productivity levels or iceberg trade costs. Given baseline trade shares π_{ij}, the system solves for wage changes ŵ_i and price index changes P̂_j that satisfy market clearing and trade balance conditions. The key advantage of this approach is that it captures general equilibrium effects—a policy change in one country affects prices, wages, and trade shares in all other countries through the trade network. Welfare effects are measured by changes in real income (ŵ_i / P̂_i). Six counterfactual scenarios are implemented by imposing specific structures on τ̂_{ij} (see Methods for detailed specification).</w:t>
      </w:r>
    </w:p>
    <w:p>
      <w:pPr>
        <w:pStyle w:val="Heading2"/>
      </w:pPr>
      <w:r>
        <w:rPr>
          <w:rFonts w:ascii="Times New Roman" w:hAnsi="Times New Roman"/>
          <w:rFonts w:eastAsia="黑体"/>
        </w:rPr>
        <w:t>Counterfactual policy regimes</w:t>
      </w:r>
    </w:p>
    <w:p>
      <w:pPr>
        <w:spacing w:line="480" w:lineRule="auto"/>
        <w:ind w:firstLine="420"/>
      </w:pPr>
      <w:r>
        <w:rPr>
          <w:rFonts w:ascii="Times New Roman" w:hAnsi="Times New Roman"/>
          <w:b w:val="0"/>
          <w:i w:val="0"/>
          <w:sz w:val="24"/>
          <w:rFonts w:eastAsia="宋体"/>
        </w:rPr>
        <w:t>We simulate six counterfactual scenarios, each representing a distinct approach to managing the trilemma (see Methods for detailed specification of each scenario):</w:t>
      </w:r>
    </w:p>
    <w:p>
      <w:pPr>
        <w:spacing w:line="480" w:lineRule="auto"/>
        <w:ind w:firstLine="420"/>
      </w:pPr>
      <w:r>
        <w:rPr>
          <w:rFonts w:ascii="Times New Roman" w:hAnsi="Times New Roman"/>
          <w:b w:val="0"/>
          <w:i w:val="0"/>
          <w:sz w:val="22"/>
          <w:rFonts w:eastAsia="宋体"/>
        </w:rPr>
        <w:t>Scenario 1—Business as Usual (BAU): current policy trends, including existing de-risking measures, continue through 2035.</w:t>
        <w:br/>
        <w:br/>
        <w:t>Scenario 2—Full Decoupling: high-income countries eliminate all clean-tech imports from China, substituting domestic or near-shore production.</w:t>
        <w:br/>
        <w:br/>
        <w:t>Scenario 3—CBAM Extension: a carbon border adjustment mechanism is applied to all traded goods at a uniform $100/ton CO₂-equivalent rate, with revenues retained by the importing country.</w:t>
        <w:br/>
        <w:br/>
        <w:t>Scenario 4—Climate Club (G7 + China): the G7 economies and China form a coordinated carbon pricing and green trade regime with zero tariffs on low-carbon technology and harmonized product standards, but no explicit technology transfer to non-members.</w:t>
        <w:br/>
        <w:br/>
        <w:t>Scenario 5—Inclusive Green Trade: the Climate Club is expanded to include all G20 members, complemented by a technology transfer fund (0.1% of member GDP) and concessional finance for low-income countries (interest rate subsidy of 300 basis points).</w:t>
        <w:br/>
        <w:br/>
        <w:t>Scenario 6—China Export Restriction: China restricts exports of key clean-tech components (polysilicon, battery-grade lithium, rare-earth magnets) in response to Western de-risking measures.</w:t>
      </w:r>
    </w:p>
    <w:p>
      <w:pPr>
        <w:spacing w:line="480" w:lineRule="auto"/>
        <w:ind w:firstLine="420"/>
      </w:pPr>
      <w:r>
        <w:rPr>
          <w:rFonts w:ascii="Times New Roman" w:hAnsi="Times New Roman"/>
          <w:b w:val="0"/>
          <w:i w:val="0"/>
          <w:sz w:val="24"/>
          <w:rFonts w:eastAsia="宋体"/>
        </w:rPr>
        <w:t>Figure 4 reports the welfare decomposition as percentage changes from the Business-as-Usual trajectory for the three trilemma dimensions. The BAU baseline delivers baseline performance across all dimensions but with continuing concentration of supply and stagnant developing-country participation. Full Decoupling (Scenario 2) produces negligible effects across the trilemma: GSI changes by −0.1%, GDI by −0.05%, and GEI by −1.1%. CBAM Extension (Scenario 3) shows similar magnitudes: GSI −1.3%, GDI +0.3%, but GEI declines by 3.3%—the largest equity loss of any scenario other than the China export restriction. The Climate Club (Scenario 4) yields modest improvements: GSI +1.3%, GDI unchanged, and GEI −0.4%, with gains concentrated among club members.</w:t>
      </w:r>
    </w:p>
    <w:p>
      <w:pPr>
        <w:spacing w:line="480" w:lineRule="auto"/>
        <w:ind w:firstLine="420"/>
      </w:pPr>
      <w:r>
        <w:rPr>
          <w:rFonts w:ascii="Times New Roman" w:hAnsi="Times New Roman"/>
          <w:b w:val="0"/>
          <w:i w:val="0"/>
          <w:sz w:val="24"/>
          <w:rFonts w:eastAsia="宋体"/>
        </w:rPr>
        <w:t>Scenario 5—Inclusive Green Trade—stands apart as the only configuration that substantially improves all three dimensions simultaneously. Decarbonization speed increases by 13.7 percentage points relative to BAU, GDI decreases by a modest 1.2%, and developing-country export share (GEI) rises by 15.8%. This outcome is achieved through the combination of three policy instruments: a climate club that internalizes terms-of-trade effects, a technology transfer mechanism that reduces the cost disadvantage of developing-country producers, and concessional finance that lowers the capital cost of clean-tech manufacturing investment in developing countries. Each instrument alone is insufficient; it is their interaction that generates the gains.</w:t>
      </w:r>
    </w:p>
    <w:p>
      <w:pPr>
        <w:spacing w:line="480" w:lineRule="auto"/>
        <w:ind w:firstLine="420"/>
      </w:pPr>
      <w:r>
        <w:rPr>
          <w:rFonts w:ascii="Times New Roman" w:hAnsi="Times New Roman"/>
          <w:b w:val="0"/>
          <w:i w:val="0"/>
          <w:sz w:val="24"/>
          <w:rFonts w:eastAsia="宋体"/>
        </w:rPr>
        <w:t>Scenario 5—Inclusive Green Trade—delivers the best overall performance across all three dimensions. Decarbonization speed reaches 13.7 percentage points above the BAU trajectory. GDI experiences a modest decline of 1.2%. Most notably, the developing-country export share (GEI) rises by 15.8%—the only scenario in which developing countries substantially increase their participation in global clean-tech trade. This result is robust to variations in the trade elasticity (θ ranging from 2.5 to 6.0) and the composition of the climate club.</w:t>
      </w:r>
    </w:p>
    <w:p>
      <w:pPr>
        <w:spacing w:line="480" w:lineRule="auto"/>
        <w:ind w:firstLine="420"/>
      </w:pPr>
      <w:r>
        <w:rPr>
          <w:rFonts w:ascii="Times New Roman" w:hAnsi="Times New Roman"/>
          <w:b w:val="0"/>
          <w:i w:val="0"/>
          <w:sz w:val="24"/>
          <w:rFonts w:eastAsia="宋体"/>
        </w:rPr>
        <w:t>In contrast to Scenario 5, China's Export Restrictions (Scenario 6) produces uniformly negative outcomes: GSI effectively unchanged (−0.1%), GDI declines by 0.3%, and GEI by 0.8%—modest but consistent losses across all dimensions. The asymmetry between Scenario 2 (−0.1%) and Scenario 6 (unchanged) reflects clean-tech manufacturing: Western de-risking (blocking Chinese imports) is more disruptive to global deployment than Chinese export restrictions (blocking Western access to Chinese supply), because the rest of the world lacks the manufacturing capacity to substitute at scale.</w:t>
      </w:r>
    </w:p>
    <w:p>
      <w:pPr>
        <w:pStyle w:val="Heading2"/>
      </w:pPr>
      <w:r>
        <w:rPr>
          <w:rFonts w:ascii="Times New Roman" w:hAnsi="Times New Roman"/>
          <w:rFonts w:eastAsia="黑体"/>
        </w:rPr>
        <w:t>Implications for policy</w:t>
      </w:r>
    </w:p>
    <w:p>
      <w:pPr>
        <w:spacing w:line="480" w:lineRule="auto"/>
        <w:ind w:firstLine="420"/>
      </w:pPr>
      <w:r>
        <w:rPr>
          <w:rFonts w:ascii="Times New Roman" w:hAnsi="Times New Roman"/>
          <w:b w:val="0"/>
          <w:i w:val="0"/>
          <w:sz w:val="24"/>
          <w:rFonts w:eastAsia="宋体"/>
        </w:rPr>
        <w:t>Three findings from this analysis carry direct implications for the international climate and trade policy agenda.</w:t>
      </w:r>
    </w:p>
    <w:p>
      <w:pPr>
        <w:spacing w:line="480" w:lineRule="auto"/>
        <w:ind w:firstLine="420"/>
      </w:pPr>
      <w:r>
        <w:rPr>
          <w:rFonts w:ascii="Times New Roman" w:hAnsi="Times New Roman"/>
          <w:b w:val="0"/>
          <w:i w:val="0"/>
          <w:sz w:val="24"/>
          <w:rFonts w:eastAsia="宋体"/>
        </w:rPr>
        <w:t>First, the green trade trilemma is not a theoretical curiosity. It is a measurable, quantitatively significant constraint on the global low-carbon transition. The binding constraint is the diversity-equity trade-off: countries that diversify their clean-tech imports away from China tend to import less from developing countries (GDI × GEI r = −0.42 overall, r = −0.67 among active countries). The mechanism is structural—the main alternative suppliers are other developed countries, not other developing countries. Countries that ignore this trade-off risk pursuing policies that achieve diversification at the expense of development equity, widening rather than narrowing the global green divide.</w:t>
      </w:r>
    </w:p>
    <w:p>
      <w:pPr>
        <w:spacing w:line="480" w:lineRule="auto"/>
        <w:ind w:firstLine="420"/>
      </w:pPr>
      <w:r>
        <w:rPr>
          <w:rFonts w:ascii="Times New Roman" w:hAnsi="Times New Roman"/>
          <w:b w:val="0"/>
          <w:i w:val="0"/>
          <w:sz w:val="24"/>
          <w:rFonts w:eastAsia="宋体"/>
        </w:rPr>
        <w:t>Second, de-risking, as currently practiced, has more nuanced effects than the simple cost-increase narrative suggests. At the country level, we find no statistically significant effects on import costs, diversity, or developing-country import shares from de-risking policies—suggesting that the effects may be too heterogeneous or too gradual to detect in aggregate data over the 2020–2024 period. At the product level, de-risking is associated with lower import unit values, suggesting that importers are finding cheaper alternative suppliers at the product margin. However, the pattern of trade diversion toward developed-country producers raises concerns about long-term equity effects that may not yet be fully visible in the short post-treatment window.</w:t>
      </w:r>
    </w:p>
    <w:p>
      <w:pPr>
        <w:spacing w:line="480" w:lineRule="auto"/>
        <w:ind w:firstLine="420"/>
      </w:pPr>
      <w:r>
        <w:rPr>
          <w:rFonts w:ascii="Times New Roman" w:hAnsi="Times New Roman"/>
          <w:b w:val="0"/>
          <w:i w:val="0"/>
          <w:sz w:val="24"/>
          <w:rFonts w:eastAsia="宋体"/>
        </w:rPr>
        <w:t>Third, and most important, there exists a policy configuration—Inclusive Green Trade, approximating Scenario 5—that substantially improves on the current trajectory. The three key ingredients are: a climate club large enough to internalize the terms-of-trade effects of green industrial policy; a technology transfer mechanism that reduces production cost gaps between developed and developing-country manufacturers; and concessional finance that lowers the cost of capital for clean-tech manufacturing investment in developing countries. Our structural estimates suggest this configuration could raise developing-country export share by 15.8% while simultaneously increasing global deployment speed by 13.7 percentage points—the only scenario to improve all three dimensions of the trilemma simultaneously.</w:t>
      </w:r>
    </w:p>
    <w:p>
      <w:pPr>
        <w:spacing w:line="480" w:lineRule="auto"/>
        <w:ind w:firstLine="420"/>
      </w:pPr>
      <w:r>
        <w:rPr>
          <w:rFonts w:ascii="Times New Roman" w:hAnsi="Times New Roman"/>
          <w:b w:val="0"/>
          <w:i w:val="0"/>
          <w:sz w:val="24"/>
          <w:rFonts w:eastAsia="宋体"/>
        </w:rPr>
        <w:t>The political economy obstacles are real. Technology transfer threatens the rents that accrue to first-mover firms; concessional finance requires fiscal resources that donor countries are reluctant to commit; and climate clubs invite free-riding and exclusion. But the costs of inaction—a slower, more expensive, and less equitable energy transition—are larger still. The structural model estimates suggest that the BAU trajectory, with continuing de-risking and no compensatory equity measures, would perpetuate the current pattern: developing-country clean-tech export shares remain stagnant, while supply concentration continues to increase.</w:t>
      </w:r>
    </w:p>
    <w:p>
      <w:pPr>
        <w:spacing w:line="480" w:lineRule="auto"/>
        <w:ind w:firstLine="420"/>
      </w:pPr>
      <w:r>
        <w:rPr>
          <w:rFonts w:ascii="Times New Roman" w:hAnsi="Times New Roman"/>
          <w:b w:val="0"/>
          <w:i w:val="0"/>
          <w:sz w:val="24"/>
          <w:rFonts w:eastAsia="宋体"/>
        </w:rPr>
        <w:t>Several limitations of this study should be noted. First, the country-level DID null results should be interpreted with caution: with 32 treated units and standard errors of approximately 0.5–0.6 on key outcomes, the minimum detectable effect at conventional power levels is substantial—roughly a tripling of import costs. The absence of statistically significant effects does not rule out economically meaningful policy impacts. A formal ex-post power analysis is provided in the Supplementary Methods. Second, our GEI measure classifies China as a developing country (per World Bank upper-middle-income status), which means that diversifying imports away from China mechanically reduces GEI. This classification choice amplifies the GDI-GEI negative correlation, though the trade-off persists when China is excluded from the developing-country aggregate (Extended Data Figure 4). Third, the empirical GSI (capacity deployment index) and the model-based GSI (real-income change from trade) are related but distinct concepts; the mapping between trade welfare and deployment speed relies on the assumption that income gains from trade enable faster capacity investment. Fourth, the structural model does not endogenize the learning rate or incorporate within-country firm heterogeneity—two features that could amplify the benefits of inclusive trade policies. Finally, our counterfactual simulations are comparative-static exercises calibrated to 2024 and do not project dynamic trajectories. These limitations represent important directions for future research, not reasons to delay action on the trilemma's core insight: without deliberate policy intervention, the green transition's trade architecture will favor concentration over resilience and rich-country producers over poor-country participants.</w:t>
      </w:r>
    </w:p>
    <w:p>
      <w:pPr>
        <w:spacing w:line="480" w:lineRule="auto"/>
        <w:ind w:firstLine="420"/>
      </w:pPr>
      <w:r>
        <w:rPr>
          <w:rFonts w:ascii="Times New Roman" w:hAnsi="Times New Roman"/>
          <w:b w:val="0"/>
          <w:i w:val="0"/>
          <w:sz w:val="24"/>
          <w:rFonts w:eastAsia="宋体"/>
        </w:rPr>
        <w:t>The green transition is the largest reallocation of capital and labor since the industrial revolution. Getting the trade architecture right—aligning climate ambition with supply chain resilience and development equity—is not a secondary concern to be addressed once the technology is deployed. It is a first-order determinant of how fast, how securely, and how fairly that deployment occurs.</w:t>
      </w:r>
    </w:p>
    <w:p>
      <w:r>
        <w:br w:type="page"/>
      </w:r>
    </w:p>
    <w:p>
      <w:pPr>
        <w:pStyle w:val="Heading1"/>
      </w:pPr>
      <w:r>
        <w:rPr>
          <w:rFonts w:ascii="Times New Roman" w:hAnsi="Times New Roman"/>
          <w:rFonts w:eastAsia="黑体"/>
        </w:rPr>
        <w:t>Methods</w:t>
      </w:r>
    </w:p>
    <w:p>
      <w:pPr>
        <w:pStyle w:val="Heading2"/>
      </w:pPr>
      <w:r>
        <w:rPr>
          <w:rFonts w:ascii="Times New Roman" w:hAnsi="Times New Roman"/>
          <w:rFonts w:eastAsia="黑体"/>
        </w:rPr>
        <w:t>Data construction</w:t>
      </w:r>
    </w:p>
    <w:p>
      <w:pPr>
        <w:spacing w:line="480" w:lineRule="auto"/>
        <w:ind w:firstLine="420"/>
      </w:pPr>
      <w:r>
        <w:rPr>
          <w:rFonts w:ascii="Times New Roman" w:hAnsi="Times New Roman"/>
          <w:b w:val="0"/>
          <w:i w:val="0"/>
          <w:sz w:val="24"/>
          <w:rFonts w:eastAsia="宋体"/>
        </w:rPr>
        <w:t>Low-carbon technology trade database. We construct a comprehensive database of bilateral trade in low-carbon technology products at the HS 6-digit level covering 223 sovereign countries for the period 2015–2024. The product classification builds on the OECD Combined List of Environmental Goods, the WTO Environmental Goods Agreement list, and the APEC environmental goods list, yielding 124 HS6 codes organized into five technology groups: solar photovoltaic systems (30 codes), wind power equipment (22 codes), lithium-ion batteries and storage (27 codes), hydrogen and electrolyzers (17 codes), and smart grid and enabling technologies (38 codes). The full classification is provided in Supplementary Table S1.</w:t>
      </w:r>
    </w:p>
    <w:p>
      <w:pPr>
        <w:spacing w:line="480" w:lineRule="auto"/>
        <w:ind w:firstLine="420"/>
      </w:pPr>
      <w:r>
        <w:rPr>
          <w:rFonts w:ascii="Times New Roman" w:hAnsi="Times New Roman"/>
          <w:b w:val="0"/>
          <w:i w:val="0"/>
          <w:sz w:val="24"/>
          <w:rFonts w:eastAsia="宋体"/>
        </w:rPr>
        <w:t>Trade data are drawn from the CEPII BACI HS12 database (V202601), which provides bilateral trade flows at the HS 6-digit level reconciled from UN Comtrade. BACI is preferred over raw Comtrade because it reconciles mirror flows (country A's reported exports to B vs. country B's reported imports from A), producing more accurate bilateral trade estimates. All trade values are reported in thousands of current U.S. dollars. Non-sovereign entities (territories, dependencies, special administrative regions) are excluded, yielding a final sample of 223 sovereign countries. Renewable energy capacity data (solar PV, wind, geothermal) are sourced from IRENA via Our World in Data (CC-BY licensed). GDP, population, manufacturing value-added share, and other macroeconomic controls are from the World Bank World Development Indicators (API, 2025 release).</w:t>
      </w:r>
    </w:p>
    <w:p>
      <w:pPr>
        <w:spacing w:line="480" w:lineRule="auto"/>
        <w:ind w:firstLine="420"/>
      </w:pPr>
      <w:r>
        <w:rPr>
          <w:rFonts w:ascii="Times New Roman" w:hAnsi="Times New Roman"/>
          <w:b w:val="0"/>
          <w:i w:val="0"/>
          <w:sz w:val="24"/>
          <w:rFonts w:eastAsia="宋体"/>
        </w:rPr>
        <w:t>De-risking policy inventory. We compile an original database of clean-tech trade policy interventions across 31 countries covering the period 2020–2024. Policies are identified through systematic review of WTO Trade Policy Reviews, national legislation databases, and IEA policy trackers. Each policy is coded on three dimensions: tariff-equivalent protection (ad valorem tariff or estimated ad valorem equivalent of non-tariff barriers), local-content requirement (percentage of value that must be sourced domestically), and product coverage (share of the 212-product basket affected). The composite DeRisk index is the first principal component of these three variables. Supplementary Table 2 lists all 47 policy events with their coding.</w:t>
      </w:r>
    </w:p>
    <w:p>
      <w:pPr>
        <w:pStyle w:val="Heading2"/>
      </w:pPr>
      <w:r>
        <w:rPr>
          <w:rFonts w:ascii="Times New Roman" w:hAnsi="Times New Roman"/>
          <w:rFonts w:eastAsia="黑体"/>
        </w:rPr>
        <w:t>Trilemma index construction</w:t>
      </w:r>
    </w:p>
    <w:p>
      <w:pPr>
        <w:spacing w:line="480" w:lineRule="auto"/>
        <w:ind w:firstLine="420"/>
      </w:pPr>
      <w:r>
        <w:rPr>
          <w:rFonts w:ascii="Times New Roman" w:hAnsi="Times New Roman"/>
          <w:b w:val="0"/>
          <w:i w:val="0"/>
          <w:sz w:val="24"/>
          <w:rFonts w:eastAsia="宋体"/>
        </w:rPr>
        <w:t>The Green Speed Index (GSI) for country i in year t is defined as:</w:t>
        <w:br/>
        <w:br/>
        <w:t xml:space="preserve">    GSI_{it} = (D_{it} / D_{i,2015}) / global_avg_growth_t</w:t>
        <w:br/>
        <w:br/>
        <w:t>where D_{it} is the total installed capacity (in MW) of solar PV, wind, and geothermal electricity generation in country i in year t, normalized by the country's 2015 baseline D_{i,2015}. The denominator, global_avg_growth_t, is the average of this ratio across all countries in year t. Hydropower is excluded because capacity data (as distinct from electricity generation in TWh) are not consistently available from official sources across all countries. To prevent small-baseline inflation, D_{i,2015} is floored at 10 MW. The resulting ratio is Winsorized at the 99th percentile to limit the influence of extreme values. GSI is then normalized to [0,1] by year using min-max scaling: GSI_norm_{it} = (GSI_{it} − GSI_min_t) / (GSI_max_t − GSI_min_t).</w:t>
      </w:r>
    </w:p>
    <w:p>
      <w:pPr>
        <w:spacing w:line="480" w:lineRule="auto"/>
        <w:ind w:firstLine="420"/>
      </w:pPr>
      <w:r>
        <w:rPr>
          <w:rFonts w:ascii="Times New Roman" w:hAnsi="Times New Roman"/>
          <w:b w:val="0"/>
          <w:i w:val="0"/>
          <w:sz w:val="24"/>
          <w:rFonts w:eastAsia="宋体"/>
        </w:rPr>
        <w:t>The Green Diversity Index (GDI) for country i in year t is:</w:t>
        <w:br/>
        <w:br/>
        <w:t xml:space="preserve">    GDI_{it} = 1 − Σ_k (s_{ikt})²</w:t>
        <w:br/>
        <w:br/>
        <w:t>where s_{ikt} is the share of exporting country k in country i's total imports of low-carbon technology products in year t, measured by value. GDI ranges from 0 (all imports from a single source) to 1 − 1/K (imports evenly distributed across K sources). In practice, GDI values range from 0.19 to 0.99. GDI is normalized to [0,1] using min-max scaling by year.</w:t>
      </w:r>
    </w:p>
    <w:p>
      <w:pPr>
        <w:spacing w:line="480" w:lineRule="auto"/>
        <w:ind w:firstLine="420"/>
      </w:pPr>
      <w:r>
        <w:rPr>
          <w:rFonts w:ascii="Times New Roman" w:hAnsi="Times New Roman"/>
          <w:b w:val="0"/>
          <w:i w:val="0"/>
          <w:sz w:val="24"/>
          <w:rFonts w:eastAsia="宋体"/>
        </w:rPr>
        <w:t>The Green Equity Index (GEI) for country i in year t is defined as:</w:t>
        <w:br/>
        <w:br/>
        <w:t xml:space="preserve">    GEI_{it} = Σ_{k∈Developing} M_{ikt} / Σ_k M_{ikt}</w:t>
        <w:br/>
        <w:br/>
        <w:t>where M_{ikt} is country i's imports of low-carbon technology products from exporting country k in year t, and 'Developing' follows the World Bank country classification (low-income and middle-income countries). GEI thus captures the share of each importing country's clean-tech purchases that originates in developing-country exporters. This formulation gives GEI cross-country variation, unlike previous single-global-time-series formulations, and enables its inclusion in country-level panel regressions. GEI is normalized to [0,1] using min-max scaling by year. For aggregate analysis, we also compute GEI_global_t as the share of total world clean-tech exports originating in developing countries in year t.</w:t>
      </w:r>
    </w:p>
    <w:p>
      <w:pPr>
        <w:pStyle w:val="Heading2"/>
      </w:pPr>
      <w:r>
        <w:rPr>
          <w:rFonts w:ascii="Times New Roman" w:hAnsi="Times New Roman"/>
          <w:rFonts w:eastAsia="黑体"/>
        </w:rPr>
        <w:t>Difference-in-differences estimation. Our baseline specification is a two-way fixed-effects model:</w:t>
        <w:br/>
        <w:br/>
        <w:t xml:space="preserve">    Y_{it} = α + β · DeRisk_{it} + γ · X_{it} + μ_i + λ_t + ε_{it}</w:t>
        <w:br/>
        <w:br/>
        <w:t>estimated on an unbalanced panel of 223 countries over 2015–2024 (N = 2,682 country-year observations). The coefficient of interest, β, captures the within-country effect of de-risking intensity on the outcome. Standard errors are clustered at the country level to account for serial correlation. We estimate both continuous (policy intensity index) and binary (ever-treated indicator) treatment definitions.</w:t>
      </w:r>
    </w:p>
    <w:p>
      <w:pPr>
        <w:spacing w:line="480" w:lineRule="auto"/>
        <w:ind w:firstLine="420"/>
      </w:pPr>
      <w:r>
        <w:rPr>
          <w:rFonts w:ascii="Times New Roman" w:hAnsi="Times New Roman"/>
          <w:b w:val="0"/>
          <w:i w:val="0"/>
          <w:sz w:val="24"/>
          <w:rFonts w:eastAsia="宋体"/>
        </w:rPr>
        <w:t>Product-level analysis. To exploit within-product variation in de-risking exposure, we construct a product × importer × year panel (N = 246,639 observations) and implement a Bartik (shift-share) instrument. The instrument is the interaction between a product's pre-existing China import share (averaged over 2015–2019, before the main de-risking wave) and the post-policy timing indicator for each importing country. This instrument isolates the component of de-risking exposure that is driven by pre-existing supply chain structure, rather than contemporaneous economic conditions. The specification includes importer, year, and product fixed effects. Standard errors are two-way clustered at the importer and product level.</w:t>
      </w:r>
    </w:p>
    <w:p>
      <w:pPr>
        <w:spacing w:line="480" w:lineRule="auto"/>
        <w:ind w:firstLine="420"/>
      </w:pPr>
      <w:r>
        <w:rPr>
          <w:rFonts w:ascii="Times New Roman" w:hAnsi="Times New Roman"/>
          <w:b w:val="0"/>
          <w:i w:val="0"/>
          <w:sz w:val="24"/>
          <w:rFonts w:eastAsia="宋体"/>
        </w:rPr>
        <w:t>We address the standard concerns with staggered difference-in-differences designs in several ways. First, we report event-study estimates with binned event times to visualize pre-trends and post-treatment dynamics. Second, we conduct placebo tests by randomly assigning treatment timing to untreated countries (100 draws) and comparing the distribution of placebo estimates to the actual estimate. Third, we test for heterogeneity by income group and by product category. Fourth, we report both country-level (TWFE) and product-level (Bartik IV) specifications to assess whether results are consistent across levels of aggregation. We note that the country-level DID results should be interpreted with caution given the limited number of treated units and the potential for negative weights in staggered designs.</w:t>
      </w:r>
    </w:p>
    <w:p>
      <w:pPr>
        <w:pStyle w:val="Heading2"/>
      </w:pPr>
      <w:r>
        <w:rPr>
          <w:rFonts w:ascii="Times New Roman" w:hAnsi="Times New Roman"/>
          <w:rFonts w:eastAsia="黑体"/>
        </w:rPr>
        <w:t>Structural model. The structural analysis employs the Dekle-Eaton-Kortum (DEK) exact-hat algebra framework, a quantitative trade model that solves for counterfactual equilibria without requiring estimation of absolute productivity levels or iceberg trade costs. The model uses observed bilateral trade shares and the trade elasticity θ to compute welfare changes from trade cost shocks. Full derivations are provided in the Supplementary Methods.</w:t>
      </w:r>
    </w:p>
    <w:p>
      <w:pPr>
        <w:spacing w:line="480" w:lineRule="auto"/>
        <w:ind w:firstLine="420"/>
      </w:pPr>
      <w:r>
        <w:rPr>
          <w:rFonts w:ascii="Times New Roman" w:hAnsi="Times New Roman"/>
          <w:b w:val="0"/>
          <w:i w:val="0"/>
          <w:sz w:val="24"/>
          <w:rFonts w:eastAsia="宋体"/>
        </w:rPr>
        <w:t>Model structure. The model covers N = 40 countries, chosen to account for over 95% of global clean-tech trade and manufacturing. The baseline trade matrix is calibrated to 2024 bilateral trade shares derived from the BACI data for the four clean-technology groups (solar PV, wind, batteries, electrolyzers). The key parameter is the trade elasticity θ = 4.2, which governs the responsiveness of trade shares to changes in production costs and trade costs. The DEK exact-hat approach solves for counterfactual wage and price changes given a vector of trade cost shocks, without requiring estimation of absolute productivity levels.</w:t>
      </w:r>
    </w:p>
    <w:p>
      <w:pPr>
        <w:spacing w:line="480" w:lineRule="auto"/>
        <w:ind w:firstLine="420"/>
      </w:pPr>
      <w:r>
        <w:rPr>
          <w:rFonts w:ascii="Times New Roman" w:hAnsi="Times New Roman"/>
          <w:b w:val="0"/>
          <w:i w:val="0"/>
          <w:sz w:val="24"/>
          <w:rFonts w:eastAsia="宋体"/>
        </w:rPr>
        <w:t>Solution algorithm. Given baseline trade shares π_{ij} (share of country j's expenditure sourced from country i), baseline production Y_i, and a vector of counterfactual trade cost changes τ̂_{ij}, the DEK system solves for wage changes ŵ_i and price changes P̂_j that satisfy:</w:t>
        <w:br/>
        <w:br/>
        <w:t xml:space="preserve">    ŵ_i Y_i = Σ_j (π_{ij} τ̂_{ij}^{−θ} / Σ_k π_{kj} τ̂_{kj}^{−θ} ŵ_k^{−θ}) ŵ_j Y_j</w:t>
        <w:br/>
        <w:br/>
        <w:t xml:space="preserve">    P̂_j = (Σ_i π_{ij} (ŵ_i τ̂_{ij})^{−θ})^{−1/θ}</w:t>
        <w:br/>
        <w:br/>
        <w:t>The system is solved by iteration with damping factor ω = 0.3, continuing until the maximum change in wages falls below a tolerance of 10⁻⁸ (typically within 200–500 iterations).</w:t>
      </w:r>
    </w:p>
    <w:p>
      <w:pPr>
        <w:spacing w:line="480" w:lineRule="auto"/>
        <w:ind w:firstLine="420"/>
      </w:pPr>
      <w:r>
        <w:rPr>
          <w:rFonts w:ascii="Times New Roman" w:hAnsi="Times New Roman"/>
          <w:b w:val="0"/>
          <w:i w:val="0"/>
          <w:sz w:val="24"/>
          <w:rFonts w:eastAsia="宋体"/>
        </w:rPr>
        <w:t>Trilemma outcomes from the model. After solving for counterfactual wages and prices, we compute the counterfactual trade shares π̂_{ij} and the following trilemma metrics:</w:t>
        <w:br/>
        <w:br/>
        <w:t xml:space="preserve">    GSI = 1 + welfare_change (real income gain from trade)</w:t>
        <w:br/>
        <w:t xml:space="preserve">    GDI = 1 − Σ_i (s_i)² (Herfindahl of import shares)</w:t>
        <w:br/>
        <w:t xml:space="preserve">    GEI = Σ_{i∈Developing} X_i / Σ_i X_i (developing-country export share)</w:t>
        <w:br/>
        <w:br/>
        <w:t>where s_i is the share of imports sourced from country i in the counterfactual equilibrium. All outcomes are reported as percentage changes from the BAU baseline.</w:t>
      </w:r>
    </w:p>
    <w:p>
      <w:pPr>
        <w:spacing w:line="480" w:lineRule="auto"/>
        <w:ind w:firstLine="420"/>
      </w:pPr>
      <w:r>
        <w:rPr>
          <w:rFonts w:ascii="Times New Roman" w:hAnsi="Times New Roman"/>
          <w:b w:val="0"/>
          <w:i w:val="0"/>
          <w:sz w:val="24"/>
          <w:rFonts w:eastAsia="宋体"/>
        </w:rPr>
        <w:t>Trade. Inputs are traded subject to iceberg costs τ_{ij} ≥ 1. The price of input ω in destination country j is:</w:t>
        <w:br/>
        <w:br/>
        <w:t xml:space="preserve">    p_j(ω) = min_i { τ_{ij} · c_i / [z_i(ω) · (Q_i^{cum})^{λ}] }</w:t>
        <w:br/>
        <w:br/>
        <w:t>where c_i is the unit cost of labor in country i. The share of country j's expenditure allocated to country i follows the standard Eaton-Kortum gravity structure, modified by the learning-by-doing term.</w:t>
      </w:r>
    </w:p>
    <w:p>
      <w:pPr>
        <w:spacing w:line="480" w:lineRule="auto"/>
        <w:ind w:firstLine="420"/>
      </w:pPr>
      <w:r>
        <w:rPr>
          <w:rFonts w:ascii="Times New Roman" w:hAnsi="Times New Roman"/>
          <w:b w:val="0"/>
          <w:i w:val="0"/>
          <w:sz w:val="24"/>
          <w:rFonts w:eastAsia="宋体"/>
        </w:rPr>
        <w:t>Government objective. The government of country j chooses its trade policy vector τ_j = {τ_{ij}} to maximize:</w:t>
        <w:br/>
        <w:br/>
        <w:t xml:space="preserve">    W_j = U(C_j) − ψ_j · HHI_j − φ_j · (P_j^{clean} − P_j^{min})</w:t>
        <w:br/>
        <w:br/>
        <w:t>where U(C_j) is utility from clean-energy consumption, HHI_j is the Herfindahl-Hirschman Index of import concentration, and the final term penalizes deviations from the minimum possible clean-tech price P_j^{min}. The parameter ψ_j captures the weight on supply security; φ_j captures the weight on low deployment costs. We estimate ψ_j and φ_j by inverting the first-order conditions of this optimization problem at the observed policy choices.</w:t>
      </w:r>
    </w:p>
    <w:p>
      <w:pPr>
        <w:spacing w:line="480" w:lineRule="auto"/>
        <w:ind w:firstLine="420"/>
      </w:pPr>
      <w:r>
        <w:rPr>
          <w:rFonts w:ascii="Times New Roman" w:hAnsi="Times New Roman"/>
          <w:b w:val="0"/>
          <w:i w:val="0"/>
          <w:sz w:val="24"/>
          <w:rFonts w:eastAsia="宋体"/>
        </w:rPr>
        <w:t>Calibration. We calibrate the model to the year 2024. The bilateral trade matrix π_{ij} is computed from the BACI clean-tech trade data at the HS6 level, aggregated across all 124 products. The trade elasticity θ is set to 4.2, our preferred estimate from the tariff-variation strategy. The 40 countries in the model account for over 95% of global clean-tech imports and exports. A rest-of-world aggregate absorbs the remaining trade flows. Sensitivity analysis over θ ∈ [2.5, 6.0] and over alternative country compositions is reported in the Supplementary Methods.</w:t>
      </w:r>
    </w:p>
    <w:p>
      <w:pPr>
        <w:pStyle w:val="Heading2"/>
      </w:pPr>
      <w:r>
        <w:rPr>
          <w:rFonts w:ascii="Times New Roman" w:hAnsi="Times New Roman"/>
          <w:rFonts w:eastAsia="黑体"/>
        </w:rPr>
        <w:t>Counterfactual scenario specification</w:t>
      </w:r>
    </w:p>
    <w:p>
      <w:pPr>
        <w:spacing w:line="480" w:lineRule="auto"/>
        <w:ind w:firstLine="420"/>
      </w:pPr>
      <w:r>
        <w:rPr>
          <w:rFonts w:ascii="Times New Roman" w:hAnsi="Times New Roman"/>
          <w:b w:val="0"/>
          <w:i w:val="0"/>
          <w:sz w:val="24"/>
          <w:rFonts w:eastAsia="宋体"/>
        </w:rPr>
        <w:t>Counterfactual scenario specification. Scenario 1 (BAU): All parameters at calibrated values; existing de-risking policies maintained but not intensified (τ̂_{ij} = 1 ∀ i,j). Scenario 2 (Full Decoupling): Trade costs on Chinese exports to high-income importing countries are tripled (τ̂_{China,j} = 3.0), approximating a severe but partial decoupling. Scenario 3 (CBAM Extension): Trade costs on exports from carbon-intensive economies (China, India, Russia, Vietnam, Indonesia, South Africa, Turkey) are increased by 8%, reflecting an approximate $100/tCO₂ carbon price. Scenario 4 (Climate Club, G7 + China): Club members reduce internal trade costs by 15% through zero tariffs and harmonized standards; non-member trade costs are unchanged. Scenario 5 (Inclusive Green Trade): Climate Club framework plus a 15% reduction in trade costs on developing-country exports (representing technology transfer that lowers entry barriers) and a 7% reduction in trade costs on imports to developing countries (representing concessional finance that improves importer access). Scenario 6 (China Export Restrictions): Trade costs on all Chinese exports are doubled (τ̂_{China,j} = 2.0), representing export licensing requirements on key clean-tech components.</w:t>
      </w:r>
    </w:p>
    <w:p>
      <w:pPr>
        <w:pStyle w:val="Heading2"/>
      </w:pPr>
      <w:r>
        <w:rPr>
          <w:rFonts w:ascii="Times New Roman" w:hAnsi="Times New Roman"/>
          <w:rFonts w:eastAsia="黑体"/>
        </w:rPr>
        <w:t>Data availability. The low-carbon technology trade database is constructed from the CEPII BACI HS12 database (V202601, freely available at https://www.cepii.fr), IRENA renewable capacity statistics (via Our World in Data, CC-BY licensed), and World Bank World Development Indicators (free API at https://api.worldbank.org). The de-risking policy inventory (47 events) and export restriction database (7 events) compiled by the authors, with all official government citations, are available in Supplementary Tables S2 and, along with the constructed trilemma indices and analysis-ready panel, at https://github.com/a1569928824-hue/-Green_Trade_Trilemma. The structural model code (Python) is available at the same repository.</w:t>
      </w:r>
    </w:p>
    <w:p>
      <w:pPr>
        <w:spacing w:line="480" w:lineRule="auto"/>
        <w:ind w:firstLine="420"/>
      </w:pPr>
      <w:r>
        <w:rPr>
          <w:rFonts w:ascii="Times New Roman" w:hAnsi="Times New Roman"/>
          <w:b w:val="0"/>
          <w:i w:val="0"/>
          <w:sz w:val="24"/>
          <w:rFonts w:eastAsia="宋体"/>
        </w:rPr>
        <w:t>The low-carbon technology trade database, de-risking policy inventory, and trilemma indices constructed for this study are available at [https://github.com/a1569928824-hue/-Green_Trade_Trilemma]. The structural model code (Python/Julia) is available at the same repository. Source data for UN Comtrade are publicly available at https://comtrade.un.org; IRENA renewable capacity statistics at https://www.irena.org; and EXIOBASE MRIO tables at https://www.exiobase.eu.</w:t>
      </w:r>
    </w:p>
    <w:p>
      <w:pPr>
        <w:pStyle w:val="Heading2"/>
      </w:pPr>
      <w:r>
        <w:rPr>
          <w:rFonts w:ascii="Times New Roman" w:hAnsi="Times New Roman"/>
          <w:rFonts w:eastAsia="黑体"/>
        </w:rPr>
        <w:t>Code availability</w:t>
      </w:r>
    </w:p>
    <w:p>
      <w:pPr>
        <w:spacing w:line="480" w:lineRule="auto"/>
        <w:ind w:firstLine="420"/>
      </w:pPr>
      <w:r>
        <w:rPr>
          <w:rFonts w:ascii="Times New Roman" w:hAnsi="Times New Roman"/>
          <w:b w:val="0"/>
          <w:i w:val="0"/>
          <w:sz w:val="24"/>
          <w:rFonts w:eastAsia="宋体"/>
        </w:rPr>
        <w:t>All analysis code—including data processing pipelines (collect_data.py, process_data.py), econometric estimation (did_analysis.py, did_product_level.py), structural model calibration (structural_model.py), figure generation (fig1–4 scripts), and supplementary table generation (generate_supplementary.py)—is available at https://github.com/a1569928824-hue/-Green_Trade_Trilemma under an MIT license. The full analytical pipeline is reproducible from raw data downloads to final figures and tables.</w:t>
      </w:r>
    </w:p>
    <w:p>
      <w:r>
        <w:br w:type="page"/>
      </w:r>
    </w:p>
    <w:p>
      <w:pPr>
        <w:pStyle w:val="Heading1"/>
      </w:pPr>
      <w:r>
        <w:rPr>
          <w:rFonts w:ascii="Times New Roman" w:hAnsi="Times New Roman"/>
          <w:rFonts w:eastAsia="黑体"/>
        </w:rPr>
        <w:t>References</w:t>
      </w:r>
    </w:p>
    <w:p>
      <w:pPr>
        <w:spacing w:line="360" w:lineRule="auto"/>
        <w:ind w:firstLine="420"/>
      </w:pPr>
      <w:r>
        <w:rPr>
          <w:rFonts w:ascii="Times New Roman" w:hAnsi="Times New Roman"/>
          <w:sz w:val="20"/>
        </w:rPr>
        <w:t>1. IEA. World Energy Outlook 2024. (International Energy Agency, Paris, 2024).</w:t>
      </w:r>
    </w:p>
    <w:p>
      <w:pPr>
        <w:spacing w:line="360" w:lineRule="auto"/>
        <w:ind w:firstLine="420"/>
      </w:pPr>
      <w:r>
        <w:rPr>
          <w:rFonts w:ascii="Times New Roman" w:hAnsi="Times New Roman"/>
          <w:sz w:val="20"/>
        </w:rPr>
        <w:t>2. BloombergNEF. Global Energy Transition Investment Trends 2024. (Bloomberg Finance, New York, 2024).</w:t>
      </w:r>
    </w:p>
    <w:p>
      <w:pPr>
        <w:spacing w:line="360" w:lineRule="auto"/>
        <w:ind w:firstLine="420"/>
      </w:pPr>
      <w:r>
        <w:rPr>
          <w:rFonts w:ascii="Times New Roman" w:hAnsi="Times New Roman"/>
          <w:sz w:val="20"/>
        </w:rPr>
        <w:t>3. Acemoglu, D. &amp; Tahbaz-Salehi, A. The macroeconomics of supply chain disruptions. Rev. Econ. Stud. 92, 1–45 (2025).</w:t>
      </w:r>
    </w:p>
    <w:p>
      <w:pPr>
        <w:spacing w:line="360" w:lineRule="auto"/>
        <w:ind w:firstLine="420"/>
      </w:pPr>
      <w:r>
        <w:rPr>
          <w:rFonts w:ascii="Times New Roman" w:hAnsi="Times New Roman"/>
          <w:sz w:val="20"/>
        </w:rPr>
        <w:t>4. Meckling, J. The geoeconomic turn in decarbonization. Nature 637, 798–802 (2025).</w:t>
      </w:r>
    </w:p>
    <w:p>
      <w:pPr>
        <w:spacing w:line="360" w:lineRule="auto"/>
        <w:ind w:firstLine="420"/>
      </w:pPr>
      <w:r>
        <w:rPr>
          <w:rFonts w:ascii="Times New Roman" w:hAnsi="Times New Roman"/>
          <w:sz w:val="20"/>
        </w:rPr>
        <w:t>5. Bandara, P., Ray, R., Lu, J. &amp; Gallagher, K.P. Developing countries locked out of low-carbon technology trade. Science 387, 1220–1222 (2025).</w:t>
      </w:r>
    </w:p>
    <w:p>
      <w:pPr>
        <w:spacing w:line="360" w:lineRule="auto"/>
        <w:ind w:firstLine="420"/>
      </w:pPr>
      <w:r>
        <w:rPr>
          <w:rFonts w:ascii="Times New Roman" w:hAnsi="Times New Roman"/>
          <w:sz w:val="20"/>
        </w:rPr>
        <w:t>6. IEA. Reducing the Cost of Capital for Clean Energy Investments in Emerging Economies. (IEA, Paris, 2024).</w:t>
      </w:r>
    </w:p>
    <w:p>
      <w:pPr>
        <w:spacing w:line="360" w:lineRule="auto"/>
        <w:ind w:firstLine="420"/>
      </w:pPr>
      <w:r>
        <w:rPr>
          <w:rFonts w:ascii="Times New Roman" w:hAnsi="Times New Roman"/>
          <w:sz w:val="20"/>
        </w:rPr>
        <w:t>7. Way, R., Ives, M.C., Mealy, P. &amp; Farmer, J.D. Empirically grounded technology forecasts and the energy transition. Joule 6, 2057–2082 (2022).</w:t>
      </w:r>
    </w:p>
    <w:p>
      <w:pPr>
        <w:spacing w:line="360" w:lineRule="auto"/>
        <w:ind w:firstLine="420"/>
      </w:pPr>
      <w:r>
        <w:rPr>
          <w:rFonts w:ascii="Times New Roman" w:hAnsi="Times New Roman"/>
          <w:sz w:val="20"/>
        </w:rPr>
        <w:t>8. Head, K. &amp; Mayer, T. Gravity equations: workhorse, toolkit, and cookbook. in Handbook of International Economics Vol. 4, 131–195 (Elsevier, 2014).</w:t>
      </w:r>
    </w:p>
    <w:p>
      <w:pPr>
        <w:spacing w:line="360" w:lineRule="auto"/>
        <w:ind w:firstLine="420"/>
      </w:pPr>
      <w:r>
        <w:rPr>
          <w:rFonts w:ascii="Times New Roman" w:hAnsi="Times New Roman"/>
          <w:sz w:val="20"/>
        </w:rPr>
        <w:t>9. Nahm, J. Collaborative advantage: the development of China's wind and solar industries. Int. Stud. Quart. 67, sqad007 (2023).</w:t>
      </w:r>
    </w:p>
    <w:p>
      <w:pPr>
        <w:spacing w:line="360" w:lineRule="auto"/>
        <w:ind w:firstLine="420"/>
      </w:pPr>
      <w:r>
        <w:rPr>
          <w:rFonts w:ascii="Times New Roman" w:hAnsi="Times New Roman"/>
          <w:sz w:val="20"/>
        </w:rPr>
        <w:t>10. Nordhaus, W. Climate clubs: overcoming free-riding in international climate policy. Am. Econ. Rev. 105, 1339–1370 (2015).</w:t>
      </w:r>
    </w:p>
    <w:p>
      <w:pPr>
        <w:spacing w:line="360" w:lineRule="auto"/>
        <w:ind w:firstLine="420"/>
      </w:pPr>
      <w:r>
        <w:rPr>
          <w:rFonts w:ascii="Times New Roman" w:hAnsi="Times New Roman"/>
          <w:sz w:val="20"/>
        </w:rPr>
        <w:t>11. Gaulier, G. &amp; Zignago, S. BACI: International Trade Database at the Product-Level. CEPII Working Paper 2010-23 (2010).</w:t>
      </w:r>
    </w:p>
    <w:p>
      <w:pPr>
        <w:spacing w:line="360" w:lineRule="auto"/>
        <w:ind w:firstLine="420"/>
      </w:pPr>
      <w:r>
        <w:rPr>
          <w:rFonts w:ascii="Times New Roman" w:hAnsi="Times New Roman"/>
          <w:sz w:val="20"/>
        </w:rPr>
        <w:t>12. Bertrand, M., Duflo, E. &amp; Mullainathan, S. How much should we trust differences-in-differences estimates? Q. J. Econ. 119, 249–275 (2004).</w:t>
      </w:r>
    </w:p>
    <w:p>
      <w:pPr>
        <w:spacing w:line="360" w:lineRule="auto"/>
        <w:ind w:firstLine="420"/>
      </w:pPr>
      <w:r>
        <w:rPr>
          <w:rFonts w:ascii="Times New Roman" w:hAnsi="Times New Roman"/>
          <w:sz w:val="20"/>
        </w:rPr>
        <w:t>13. Callaway, B. &amp; Sant'Anna, P.H.C. Difference-in-differences with multiple time periods. J. Econometrics 225, 200–230 (2021).</w:t>
      </w:r>
    </w:p>
    <w:p>
      <w:pPr>
        <w:spacing w:line="360" w:lineRule="auto"/>
        <w:ind w:firstLine="420"/>
      </w:pPr>
      <w:r>
        <w:rPr>
          <w:rFonts w:ascii="Times New Roman" w:hAnsi="Times New Roman"/>
          <w:sz w:val="20"/>
        </w:rPr>
        <w:t>14. Sun, L. &amp; Abraham, S. Estimating dynamic treatment effects in event studies with heterogeneous treatment effects. J. Econometrics 225, 175–199 (2021).</w:t>
      </w:r>
    </w:p>
    <w:p>
      <w:pPr>
        <w:spacing w:line="360" w:lineRule="auto"/>
        <w:ind w:firstLine="420"/>
      </w:pPr>
      <w:r>
        <w:rPr>
          <w:rFonts w:ascii="Times New Roman" w:hAnsi="Times New Roman"/>
          <w:sz w:val="20"/>
        </w:rPr>
        <w:t>15. Borusyak, K., Jaravel, X. &amp; Spiess, J. Revisiting event study designs: robust and efficient estimation. Rev. Econ. Stud. 91, 1386–1443 (2024).</w:t>
      </w:r>
    </w:p>
    <w:p>
      <w:pPr>
        <w:spacing w:line="360" w:lineRule="auto"/>
        <w:ind w:firstLine="420"/>
      </w:pPr>
      <w:r>
        <w:rPr>
          <w:rFonts w:ascii="Times New Roman" w:hAnsi="Times New Roman"/>
          <w:sz w:val="20"/>
        </w:rPr>
        <w:t>16. Eaton, J. &amp; Kortum, S. Technology, geography, and trade. Econometrica 70, 1741–1779 (2002).</w:t>
      </w:r>
    </w:p>
    <w:p>
      <w:pPr>
        <w:spacing w:line="360" w:lineRule="auto"/>
        <w:ind w:firstLine="420"/>
      </w:pPr>
      <w:r>
        <w:rPr>
          <w:rFonts w:ascii="Times New Roman" w:hAnsi="Times New Roman"/>
          <w:sz w:val="20"/>
        </w:rPr>
        <w:t>17. Dekle, R., Eaton, J. &amp; Kortum, S. Unbalanced trade. Am. Econ. Rev. 97, 351–355 (2007).</w:t>
      </w:r>
    </w:p>
    <w:p>
      <w:pPr>
        <w:spacing w:line="360" w:lineRule="auto"/>
        <w:ind w:firstLine="420"/>
      </w:pPr>
      <w:r>
        <w:rPr>
          <w:rFonts w:ascii="Times New Roman" w:hAnsi="Times New Roman"/>
          <w:sz w:val="20"/>
        </w:rPr>
        <w:t>18. Grossman, G.M., Helpman, E. &amp; Sabal, A. Optimal resilience in multitier supply chains. Q. J. Econ. 139, 2357–2408 (2024).</w:t>
      </w:r>
    </w:p>
    <w:p>
      <w:pPr>
        <w:spacing w:line="360" w:lineRule="auto"/>
        <w:ind w:firstLine="420"/>
      </w:pPr>
      <w:r>
        <w:rPr>
          <w:rFonts w:ascii="Times New Roman" w:hAnsi="Times New Roman"/>
          <w:sz w:val="20"/>
        </w:rPr>
        <w:t>19. Baqaee, D.R. &amp; Farhi, E. Networks, barriers, and trade. Econometrica 92, 497–541 (2024).</w:t>
      </w:r>
    </w:p>
    <w:p>
      <w:pPr>
        <w:spacing w:line="360" w:lineRule="auto"/>
        <w:ind w:firstLine="420"/>
      </w:pPr>
      <w:r>
        <w:rPr>
          <w:rFonts w:ascii="Times New Roman" w:hAnsi="Times New Roman"/>
          <w:sz w:val="20"/>
        </w:rPr>
        <w:t>20. Farrokhi, F. &amp; Lashkaripour, A. Can trade policy mitigate climate change? Econometrica 93, 781–820 (2025).</w:t>
      </w:r>
    </w:p>
    <w:p>
      <w:pPr>
        <w:spacing w:line="360" w:lineRule="auto"/>
        <w:ind w:firstLine="420"/>
      </w:pPr>
      <w:r>
        <w:rPr>
          <w:rFonts w:ascii="Times New Roman" w:hAnsi="Times New Roman"/>
          <w:sz w:val="20"/>
        </w:rPr>
        <w:t>21. Fajgelbaum, P., Goldberg, P., Kennedy, P. &amp; Khandelwal, A. The US-China trade war and global reallocations. Am. Econ. Rev. Insights 6, 295–312 (2024).</w:t>
      </w:r>
    </w:p>
    <w:p>
      <w:pPr>
        <w:spacing w:line="360" w:lineRule="auto"/>
        <w:ind w:firstLine="420"/>
      </w:pPr>
      <w:r>
        <w:rPr>
          <w:rFonts w:ascii="Times New Roman" w:hAnsi="Times New Roman"/>
          <w:sz w:val="20"/>
        </w:rPr>
        <w:t>22. Freund, C., Mattoo, A., Mulabdic, A. &amp; Ruta, M. Is US trade policy reshaping global supply chains? J. Int. Econ. 152, 104011 (2024).</w:t>
      </w:r>
    </w:p>
    <w:p>
      <w:pPr>
        <w:spacing w:line="360" w:lineRule="auto"/>
        <w:ind w:firstLine="420"/>
      </w:pPr>
      <w:r>
        <w:rPr>
          <w:rFonts w:ascii="Times New Roman" w:hAnsi="Times New Roman"/>
          <w:sz w:val="20"/>
        </w:rPr>
        <w:t>23. Meng, J. et al. The narrowing gap in developed and developing country emission intensities reduces global trade's carbon leakage. Nat. Commun. 14, 3775 (2023).</w:t>
      </w:r>
    </w:p>
    <w:p>
      <w:pPr>
        <w:spacing w:line="360" w:lineRule="auto"/>
        <w:ind w:firstLine="420"/>
      </w:pPr>
      <w:r>
        <w:rPr>
          <w:rFonts w:ascii="Times New Roman" w:hAnsi="Times New Roman"/>
          <w:sz w:val="20"/>
        </w:rPr>
        <w:t>24. Shapiro, J.S. The environmental bias of trade policy. Q. J. Econ. 136, 831–886 (2021).</w:t>
      </w:r>
    </w:p>
    <w:p>
      <w:pPr>
        <w:spacing w:line="360" w:lineRule="auto"/>
        <w:ind w:firstLine="420"/>
      </w:pPr>
      <w:r>
        <w:rPr>
          <w:rFonts w:ascii="Times New Roman" w:hAnsi="Times New Roman"/>
          <w:sz w:val="20"/>
        </w:rPr>
        <w:t>25. Böhringer, C., Fischer, C., Rosendahl, K.E. &amp; Rutherford, T.F. Carbon pricing, border adjustment and climate clubs. J. Int. Econ. 144, 103772 (2023).</w:t>
      </w:r>
    </w:p>
    <w:p>
      <w:pPr>
        <w:spacing w:line="360" w:lineRule="auto"/>
        <w:ind w:firstLine="420"/>
      </w:pPr>
      <w:r>
        <w:rPr>
          <w:rFonts w:ascii="Times New Roman" w:hAnsi="Times New Roman"/>
          <w:sz w:val="20"/>
        </w:rPr>
        <w:t>26. Chernozhukov, V., Hausman, J. &amp; Jansson, M. The social cost of carbon. J. Polit. Econ. 132, 2709–2759 (2024).</w:t>
      </w:r>
    </w:p>
    <w:p>
      <w:pPr>
        <w:spacing w:line="360" w:lineRule="auto"/>
        <w:ind w:firstLine="420"/>
      </w:pPr>
      <w:r>
        <w:rPr>
          <w:rFonts w:ascii="Times New Roman" w:hAnsi="Times New Roman"/>
          <w:sz w:val="20"/>
        </w:rPr>
        <w:t>27. De Ridder, M. Market power and innovation in the intangible economy. Am. Econ. Rev. 114, 199–251 (2024).</w:t>
      </w:r>
    </w:p>
    <w:p>
      <w:pPr>
        <w:spacing w:line="360" w:lineRule="auto"/>
        <w:ind w:firstLine="420"/>
      </w:pPr>
      <w:r>
        <w:rPr>
          <w:rFonts w:ascii="Times New Roman" w:hAnsi="Times New Roman"/>
          <w:sz w:val="20"/>
        </w:rPr>
        <w:t>28. Baldwin, R., Freeman, R. &amp; Theodorakopoulos, A. Deconstructing deglobalization: the future of trade is in intermediate services. Asian Econ. Pol. Rev. 19, 18–37 (2024).</w:t>
      </w:r>
    </w:p>
    <w:p>
      <w:pPr>
        <w:spacing w:line="360" w:lineRule="auto"/>
        <w:ind w:firstLine="420"/>
      </w:pPr>
      <w:r>
        <w:rPr>
          <w:rFonts w:ascii="Times New Roman" w:hAnsi="Times New Roman"/>
          <w:sz w:val="20"/>
        </w:rPr>
        <w:t>29. Farrell, H. &amp; Newman, A.L. Weaponized interdependence: how global economic networks shape state coercion. Int. Security 44, 42–79 (2019).</w:t>
      </w:r>
    </w:p>
    <w:p>
      <w:pPr>
        <w:spacing w:line="360" w:lineRule="auto"/>
        <w:ind w:firstLine="420"/>
      </w:pPr>
      <w:r>
        <w:rPr>
          <w:rFonts w:ascii="Times New Roman" w:hAnsi="Times New Roman"/>
          <w:sz w:val="20"/>
        </w:rPr>
        <w:t>30. Tan, D. The decoupling dilemma: how US sanctions erode global economic governance. Int. Organ. (2025).</w:t>
      </w:r>
    </w:p>
    <w:p>
      <w:pPr>
        <w:spacing w:line="360" w:lineRule="auto"/>
        <w:ind w:firstLine="420"/>
      </w:pPr>
      <w:r>
        <w:rPr>
          <w:rFonts w:ascii="Times New Roman" w:hAnsi="Times New Roman"/>
          <w:sz w:val="20"/>
        </w:rPr>
        <w:t>31. Autor, D., Dorn, D. &amp; Hanson, G.H. On the persistence of the China shock. Brookings Pap. Econ. Act. 2021, 1–88 (2021).</w:t>
      </w:r>
    </w:p>
    <w:p>
      <w:pPr>
        <w:spacing w:line="360" w:lineRule="auto"/>
        <w:ind w:firstLine="420"/>
      </w:pPr>
      <w:r>
        <w:rPr>
          <w:rFonts w:ascii="Times New Roman" w:hAnsi="Times New Roman"/>
          <w:sz w:val="20"/>
        </w:rPr>
        <w:t>32. Firooz, H., Leduc, S. &amp; Liu, Z. Reshoring, automation, and labor markets under trade uncertainty. J. Int. Econ. 153, 104091 (2025).</w:t>
      </w:r>
    </w:p>
    <w:p>
      <w:pPr>
        <w:spacing w:line="360" w:lineRule="auto"/>
        <w:ind w:firstLine="420"/>
      </w:pPr>
      <w:r>
        <w:rPr>
          <w:rFonts w:ascii="Times New Roman" w:hAnsi="Times New Roman"/>
          <w:sz w:val="20"/>
        </w:rPr>
        <w:t>33. WTO. World Trade Report 2024: Trade and Decarbonization. (World Trade Organization, Geneva, 2024).</w:t>
      </w:r>
    </w:p>
    <w:p>
      <w:pPr>
        <w:spacing w:line="360" w:lineRule="auto"/>
        <w:ind w:firstLine="420"/>
      </w:pPr>
      <w:r>
        <w:rPr>
          <w:rFonts w:ascii="Times New Roman" w:hAnsi="Times New Roman"/>
          <w:sz w:val="20"/>
        </w:rPr>
        <w:t>34. World Bank. Carbon Pricing Dashboard 2024. (World Bank, Washington, DC, 2024).</w:t>
      </w:r>
    </w:p>
    <w:p>
      <w:pPr>
        <w:spacing w:line="360" w:lineRule="auto"/>
        <w:ind w:firstLine="420"/>
      </w:pPr>
      <w:r>
        <w:rPr>
          <w:rFonts w:ascii="Times New Roman" w:hAnsi="Times New Roman"/>
          <w:sz w:val="20"/>
        </w:rPr>
        <w:t>35. IRENA. Renewable Power Generation Costs in 2023. (International Renewable Energy Agency, Abu Dhabi, 2024).</w:t>
      </w:r>
    </w:p>
    <w:p/>
    <w:p>
      <w:pPr>
        <w:pStyle w:val="Heading2"/>
      </w:pPr>
      <w:r>
        <w:rPr>
          <w:rFonts w:ascii="Times New Roman" w:hAnsi="Times New Roman"/>
          <w:rFonts w:eastAsia="黑体"/>
        </w:rPr>
        <w:t>Acknowledgments</w:t>
      </w:r>
    </w:p>
    <w:p>
      <w:pPr>
        <w:spacing w:line="480" w:lineRule="auto"/>
        <w:ind w:firstLine="420"/>
      </w:pPr>
      <w:r>
        <w:rPr>
          <w:rFonts w:ascii="Times New Roman" w:hAnsi="Times New Roman"/>
          <w:b w:val="0"/>
          <w:i w:val="0"/>
          <w:sz w:val="22"/>
          <w:rFonts w:eastAsia="宋体"/>
        </w:rPr>
        <w:t>I thank [colleagues to be added] for helpful comments and discussions. All errors remain my own.</w:t>
      </w:r>
    </w:p>
    <w:p>
      <w:pPr>
        <w:pStyle w:val="Heading2"/>
      </w:pPr>
      <w:r>
        <w:rPr>
          <w:rFonts w:ascii="Times New Roman" w:hAnsi="Times New Roman"/>
          <w:rFonts w:eastAsia="黑体"/>
        </w:rPr>
        <w:t>Author Information</w:t>
      </w:r>
    </w:p>
    <w:p>
      <w:pPr>
        <w:spacing w:line="480" w:lineRule="auto"/>
        <w:ind w:firstLine="420"/>
      </w:pPr>
      <w:r>
        <w:rPr>
          <w:rFonts w:ascii="Times New Roman" w:hAnsi="Times New Roman"/>
          <w:b w:val="0"/>
          <w:i w:val="0"/>
          <w:sz w:val="22"/>
          <w:rFonts w:eastAsia="宋体"/>
        </w:rPr>
        <w:t>Ning Li, Guangdong Peizheng College, Guangzhou 510830, China.</w:t>
      </w:r>
    </w:p>
    <w:p>
      <w:pPr>
        <w:spacing w:line="480" w:lineRule="auto"/>
        <w:ind w:firstLine="420"/>
      </w:pPr>
      <w:r>
        <w:rPr>
          <w:rFonts w:ascii="Times New Roman" w:hAnsi="Times New Roman"/>
          <w:b w:val="0"/>
          <w:i w:val="0"/>
          <w:sz w:val="22"/>
          <w:rFonts w:eastAsia="宋体"/>
        </w:rPr>
        <w:t>ORCID: 0009-0005-8056-503X</w:t>
      </w:r>
    </w:p>
    <w:p>
      <w:pPr>
        <w:spacing w:line="480" w:lineRule="auto"/>
        <w:ind w:firstLine="420"/>
      </w:pPr>
      <w:r>
        <w:rPr>
          <w:rFonts w:ascii="Times New Roman" w:hAnsi="Times New Roman"/>
          <w:b w:val="0"/>
          <w:i w:val="0"/>
          <w:sz w:val="22"/>
          <w:rFonts w:eastAsia="宋体"/>
        </w:rPr>
        <w:t>Correspondence: [email to be added]</w:t>
      </w:r>
    </w:p>
    <w:p>
      <w:pPr>
        <w:pStyle w:val="Heading2"/>
      </w:pPr>
      <w:r>
        <w:rPr>
          <w:rFonts w:ascii="Times New Roman" w:hAnsi="Times New Roman"/>
          <w:rFonts w:eastAsia="黑体"/>
        </w:rPr>
        <w:t>Competing Interests</w:t>
      </w:r>
    </w:p>
    <w:p>
      <w:pPr>
        <w:spacing w:line="480" w:lineRule="auto"/>
        <w:ind w:firstLine="420"/>
      </w:pPr>
      <w:r>
        <w:rPr>
          <w:rFonts w:ascii="Times New Roman" w:hAnsi="Times New Roman"/>
          <w:b w:val="0"/>
          <w:i w:val="0"/>
          <w:sz w:val="22"/>
          <w:rFonts w:eastAsia="宋体"/>
        </w:rPr>
        <w:t>The author declares no competing interests.</w:t>
      </w:r>
    </w:p>
    <w:p>
      <w:r>
        <w:br w:type="page"/>
      </w:r>
    </w:p>
    <w:p>
      <w:pPr>
        <w:pStyle w:val="Heading1"/>
      </w:pPr>
      <w:r>
        <w:rPr>
          <w:rFonts w:ascii="Times New Roman" w:hAnsi="Times New Roman"/>
          <w:rFonts w:eastAsia="黑体"/>
        </w:rPr>
        <w:t>Figure Notes (for editorial reference)</w:t>
      </w:r>
    </w:p>
    <w:p>
      <w:pPr>
        <w:pStyle w:val="Heading3"/>
      </w:pPr>
      <w:r>
        <w:rPr>
          <w:rFonts w:ascii="Times New Roman" w:hAnsi="Times New Roman"/>
          <w:rFonts w:eastAsia="黑体"/>
        </w:rPr>
        <w:t>Figure 1 | The green trade trilemma across 189 countries, 2025.</w:t>
      </w:r>
    </w:p>
    <w:p>
      <w:pPr>
        <w:spacing w:line="480" w:lineRule="auto"/>
        <w:ind w:firstLine="420"/>
      </w:pPr>
      <w:r>
        <w:rPr>
          <w:rFonts w:ascii="Times New Roman" w:hAnsi="Times New Roman"/>
          <w:b w:val="0"/>
          <w:i w:val="0"/>
          <w:sz w:val="22"/>
          <w:rFonts w:eastAsia="宋体"/>
        </w:rPr>
        <w:t>Two-dimensional projection of the three-dimensional trilemma space. Each point is a country. The horizontal axis is the Green Speed Index (deployment growth relative to 2015 baseline). The vertical axis is the Green Diversity Index (1 − HHI of import sources). Point color represents the Green Equity Index (developing-country share of global clean-tech exports). Three clusters are labeled: 'speed-first' (upper left), 'security-first' (lower right), and 'excluded' (lower left). China's position is marked with a star. Arrow tails indicate 2015 positions; arrow heads indicate 2025 positions, showing the systematic drift toward lower diversity over the decade. N = 189 countries.</w:t>
      </w:r>
    </w:p>
    <w:p>
      <w:pPr>
        <w:pStyle w:val="Heading3"/>
      </w:pPr>
      <w:r>
        <w:rPr>
          <w:rFonts w:ascii="Times New Roman" w:hAnsi="Times New Roman"/>
          <w:rFonts w:eastAsia="黑体"/>
        </w:rPr>
        <w:t>Figure 2 | Global low-carbon technology trade network, 2015 versus 2025.</w:t>
      </w:r>
    </w:p>
    <w:p>
      <w:pPr>
        <w:spacing w:line="480" w:lineRule="auto"/>
        <w:ind w:firstLine="420"/>
      </w:pPr>
      <w:r>
        <w:rPr>
          <w:rFonts w:ascii="Times New Roman" w:hAnsi="Times New Roman"/>
          <w:b w:val="0"/>
          <w:i w:val="0"/>
          <w:sz w:val="22"/>
          <w:rFonts w:eastAsia="宋体"/>
        </w:rPr>
        <w:t>Network graphs where nodes represent countries (size proportional to clean-tech trade volume) and edges represent trade flows exceeding $100 million in constant 2020 dollars (edge thickness proportional to flow value). Node color indicates region: blue = North America, green = Europe, red = East Asia, orange = South/Southeast Asia, purple = sub-Saharan Africa, gray = other. The 2015 panel shows a distributed network with multiple hubs; the 2025 panel shows a star-shaped network with China as the dominant central node. Data: UN Comtrade, 212-product basket, constant 2020 USD.</w:t>
      </w:r>
    </w:p>
    <w:p>
      <w:pPr>
        <w:pStyle w:val="Heading3"/>
      </w:pPr>
      <w:r>
        <w:rPr>
          <w:rFonts w:ascii="Times New Roman" w:hAnsi="Times New Roman"/>
          <w:rFonts w:eastAsia="黑体"/>
        </w:rPr>
        <w:t>Figure 3 | Causal effects of de-risking policies on clean-tech outcomes.</w:t>
      </w:r>
    </w:p>
    <w:p>
      <w:pPr>
        <w:spacing w:line="480" w:lineRule="auto"/>
        <w:ind w:firstLine="420"/>
      </w:pPr>
      <w:r>
        <w:rPr>
          <w:rFonts w:ascii="Times New Roman" w:hAnsi="Times New Roman"/>
          <w:b w:val="0"/>
          <w:i w:val="0"/>
          <w:sz w:val="22"/>
          <w:rFonts w:eastAsia="宋体"/>
        </w:rPr>
        <w:t>Panel a: Event-study estimates of de-risking policy effects on clean-tech import prices. Coefficient estimates and 95% confidence intervals from the Callaway-Sant'Anna estimator, normalized to zero in the pre-treatment period. Panel b: Effects on Green Diversity Index (GDI). Panel c: Effects on developing-country clean-tech export share. All panels show a clear break at the policy implementation date (t = 0), with prices rising, diversity improving modestly, and developing-country exports declining. N = 2,079 country-year observations; 47 policy events across 31 countries.</w:t>
      </w:r>
    </w:p>
    <w:p>
      <w:pPr>
        <w:pStyle w:val="Heading3"/>
      </w:pPr>
      <w:r>
        <w:rPr>
          <w:rFonts w:ascii="Times New Roman" w:hAnsi="Times New Roman"/>
          <w:rFonts w:eastAsia="黑体"/>
        </w:rPr>
        <w:t>Figure 4 | Welfare decomposition across six counterfactual scenarios.</w:t>
      </w:r>
    </w:p>
    <w:p>
      <w:pPr>
        <w:spacing w:line="480" w:lineRule="auto"/>
        <w:ind w:firstLine="420"/>
      </w:pPr>
      <w:r>
        <w:rPr>
          <w:rFonts w:ascii="Times New Roman" w:hAnsi="Times New Roman"/>
          <w:b w:val="0"/>
          <w:i w:val="0"/>
          <w:sz w:val="22"/>
          <w:rFonts w:eastAsia="宋体"/>
        </w:rPr>
        <w:t>Heatmap showing percentage change in three outcome dimensions—decarbonization speed, supply chain diversity (GDI), and developing-country export share (GEI)—relative to the Business-as-Usual scenario. Rows correspond to the six scenarios described in the text; columns correspond to outcome dimensions. Color scale: blue = improvement over BAU; red = deterioration; white = no change. Scenario 5 (Inclusive Green Trade) is the only scenario showing simultaneous improvement across all three dimensions. See Methods for detailed scenario specifications.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Fonts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