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accounts for approximately 85% of global solar cell exports, more than 60% of wind turbine exports, and over 75% of lithium-ion battery exports.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+13.7 percentage points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country—China—supplied more than 80% of globally traded photovoltaic modules, manufactured 90% of the world's polysilicon, and accounted for over 75% of lithium-ion battery exports. In wind power, Chinese firms supplied more than 60% of globally traded nacelles and nearly 70% of permanent-magnet generator exports.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(Dekle-Eaton-Kortum exact-hat algebra) to simulate six counterfactual policy regimes, from full decoupling through carbon border adjustments to inclusive technology transfer.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All three indices are normalized to the [0,1] interval using min-max scaling by year.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show a weak negative correlation (r = −0.15), GSI and GEI are moderately positively correlated (r = +0.27), but GDI and GEI show a strong negative correlation (r = −0.73). Among all countries, the pattern is similar: GSI × GDI r = +0.12, GSI × GEI r = +0.07, and GDI × GEI r = −0.56 (2024 cross-section; pooled across all years, GDI × GEI r = −0.42).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−0.42 overall pooled, r = −0.73 among active countries in 2024; P &lt; 0.001), while the speed-diversity correlation is weak.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the global average GSI rose by 64%,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104,125, which is mechanically large because the instrument contains the treatment indicator. We note that the exclusion restriction requires pre-existing China import shares to affect outcomes only through de-risking exposure; products with high pre-existing China shares may have different price trends, quality gradients, or substitution elasticities for reasons unrelated to de-risking policy. The 2SLS estimates show that de-risking intensity is associated with lower import unit values, not higher: β_IV = −0.141 (s.e. = 0.053, P = 0.008). The reduced-form (Bartik instrument directly on the outcome) yields β_RF = −0.367 (s.e. = 0.138, P = 0.008). The OLS estimate is also negative but not statistically significant (β = −0.019, s.e. = 0.012, P = 0.115).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The Callaway-Sant'Anna doubly-robust estimator, which is robust to heterogeneous treatment effects in staggered designs, confirms that all three outcome effects are not statistically significant at conventional levels (Supplementary Table S9; Figure 3).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constraints—supply chain linkages, trade costs, and general equilibrium adjustments—that shape the green technology market. We employ a quantitative trade model following the Dekle-Eaton-Kortum (DEK) exact-hat algebra framework, calibrated to 2024 bilateral trade shares in low-carbon technology products.</w:t>
      </w:r>
    </w:p>
    <w:p>
      <w:pPr>
        <w:spacing w:line="480" w:lineRule="auto"/>
        <w:ind w:firstLine="420"/>
      </w:pPr>
      <w:r>
        <w:rPr>
          <w:rFonts w:ascii="Times New Roman" w:hAnsi="Times New Roman"/>
          <w:b w:val="0"/>
          <w:i w:val="0"/>
          <w:sz w:val="24"/>
          <w:rFonts w:eastAsia="宋体"/>
        </w:rPr>
        <w:t>The model covers N = 40 countries selected to represent the vast majority of global clean-tech trade. The baseline trade matrix is calibrated to 2024 bilateral trade shares derived from the BACI data across four clean-technology groups: solar photovoltaic systems, wind power equipment, lithium-ion batteries, and electrolyzers for green hydrogen. The sole structural parameter is the trade elasticity θ = 4.2, calibrated from the cross-sectional relationship between clean-tech trade flows and tariff variation in the pre-de-risking period (2015–2019), consistent with estimates from the broader gravity trade literature. The DEK exact-hat approach solves for counterfactual wage and price changes given a vector of trade cost shocks τ̂_{ij}, without requiring estimation of absolute productivity levels or iceberg trade costs. The key advantage is that it captures general equilibrium effects: a policy change in one country affects prices, wages, and trade shares in all other countries through the trade network. Six counterfactual scenarios are implemented by imposing specific structures on τ̂_{ij} (see Methods for detailed specification). The model reproduces the observed bilateral trade patterns well: the correlation between predicted and actual trade shares is 0.91 for solar and 0.87 for batteries.</w:t>
      </w:r>
    </w:p>
    <w:p>
      <w:pPr>
        <w:spacing w:line="480" w:lineRule="auto"/>
        <w:ind w:firstLine="420"/>
      </w:pPr>
      <w:r>
        <w:rPr>
          <w:rFonts w:ascii="Times New Roman" w:hAnsi="Times New Roman"/>
          <w:b w:val="0"/>
          <w:i w:val="0"/>
          <w:sz w:val="24"/>
          <w:rFonts w:eastAsia="宋体"/>
        </w:rPr>
        <w:t>The key structural parameter is the trade elasticity θ = 4.2, calibrated from the cross-sectional relationship between clean-tech trade flows and tariff variation in the pre-de-risking period (2015–2019), consistent with estimates from the broader gravity trade literature. We calibrate the model to match the 2024 trade matrix for 40 countries and four clean-technology groups: solar photovoltaic systems, wind power equipment, lithium-ion batteries, and electrolyzers for green hydrogen. The model reproduces the observed bilateral trade shares well: the correlation between predicted and actual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The DEK exact-hat approach solves for counterfactual wage and price changes given a vector of trade cost shocks τ̂_{ij}, without requiring estimation of absolute productivity levels or iceberg trade costs. Given baseline trade shares π_{ij}, the system solves for wage changes ŵ_i and price index changes P̂_j that satisfy market clearing and trade balance conditions. The key advantage of this approach is that it captures general equilibrium effects—a policy change in one country affects prices, wages, and trade shares in all other countries through the trade network. Welfare effects are measured by changes in real income (ŵ_i / P̂_i). Six counterfactual scenarios are implemented by imposing specific structures on τ̂_{ij} (see Methods for detailed specification).</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settings maintained, with no additional de-risking measures beyond those already in place as of 2024.</w:t>
        <w:br/>
        <w:br/>
        <w:t>Scenario 2—Full Decoupling: trade costs on Chinese exports to high-income countries are tripled (τ̂_{China,j} = 3.0), representing a severe disruption of clean-tech trade links.</w:t>
        <w:br/>
        <w:br/>
        <w:t>Scenario 3—CBAM Extension: trade costs on exports from carbon-intensive economies (China, India, Russia, Vietnam, Indonesia, South Africa, Turkey) are increased by 8%, reflecting an approximate $100/tCO₂ carbon price.</w:t>
        <w:br/>
        <w:br/>
        <w:t>Scenario 4—Climate Club (G7 + China): club members reduce internal trade costs by 15% through zero tariffs and harmonized standards; non-member costs unchanged.</w:t>
        <w:br/>
        <w:br/>
        <w:t>Scenario 5—Inclusive Green Trade: Climate Club framework plus a 15% reduction in trade costs on developing-country exports (representing technology transfer) and a 7% reduction in trade costs on imports to developing countries (representing concessional finance).</w:t>
        <w:br/>
        <w:br/>
        <w:t>Scenario 6—China Export Restrictions: trade costs on all Chinese exports are doubled (τ̂_{China,j} = 2.0), representing export licensing requirements on key clean-tech components.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baseline delivers baseline performance across all dimensions but with continuing concentration of supply and stagnant developing-country participation. Full Decoupling (Scenario 2) produces negligible effects across the trilemma: GSI changes by −0.1%, GDI by −0.05%, and GEI by −1.1%. CBAM Extension (Scenario 3) shows similar magnitudes: GSI −1.3%, GDI +0.3%, but GEI declines by 3.3%—the largest equity loss of any scenario other than the China export restriction. The Climate Club (Scenario 4) yields modest improvements: GSI +1.3%, GDI unchanged, and GEI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Decarbonization speed increases by 13.7 percentage points relative to BAU,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This result is robust to variations in the trade elasticity (θ ranging from 2.5 to 6.0) and the composition of the climate club (see Supplementary Methods for sensitivity analysis). The interaction of the three instruments is essential: removing any single element—the climate club, technology transfer, or concessional finance—reduces the gains by more than half, suggesting that a comprehensive policy package is necessary to meaningfully relax the trilemma constraint.</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outcomes: GSI effectively unchanged, GDI declines by 0.3%, and GEI by 0.8%—modest but consistent losses across all dimensions. The impact on developing-country exports reveals an important asymmetry: Western de-risking (Scenario 2, GEI −1.1%) has a larger negative effect on developing-country exports than Chinese export restrictions (Scenario 6, GEI −0.8%), because de-risking systematically redirects demand toward developed-country producers while export restrictions primarily raise prices without redirecting trade flows. This reflects China's dominant position in clean-tech manufacturing: the rest of the world lacks the capacity to substitute for Chinese supply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pooled, r = −0.73 among active countries in 2024).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increasing global deployment speed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perpetuate the current pattern: developing-country clean-tech export shares remain stagnant,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First, the country-level DID null results should be interpreted with caution: with 32 treated units and standard errors of approximately 0.5–0.6 on key outcomes, the minimum detectable effect at conventional power levels is substantial—roughly a tripling of import costs. The absence of statistically significant effects does not rule out economically meaningful policy impacts. A formal ex-post power analysis is provided in the Supplementary Methods. Second, our GEI measure classifies China as a developing country (per World Bank upper-middle-income status), which means that diversifying imports away from China mechanically reduces GEI. This classification choice amplifies the GDI-GEI negative correlation, though the trade-off persists when China is excluded from the developing-country aggregate (Extended Data Figure 4). Third, the empirical GSI (capacity deployment index) and the model-based GSI (real-income change from trade) are related but distinct concepts; the mapping between trade welfare and deployment speed relies on the assumption that income gains from trade enable faster capacity investment. Fourth, the structural model does not endogenize the learning rate or incorporate within-country firm heterogeneity—two features that could amplify the benefits of inclusive trade policies. Finally, our counterfactual simulations are comparative-static exercises calibrated to 2024 and do not project dynamic trajectories.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124-product basket affected). The composite DeRisk index is the first principal component of these three variables. Supplementary Table S2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GSI is then normalized to [0,1] by year using min-max scaling: GSI_norm_{it} = (GSI_{it} − GSI_min_t) / (GSI_max_t − GSI_min_t).</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absolute productivity levels or iceberg trade costs. The model uses observed bilateral trade shares and the trade elasticity θ to compute welfare changes from trade cost shocks.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The DEK system solves for wage and price changes that satisfy market clearing and trade balance conditions. Given baseline trade shares π_{ij} and a vector of counterfactual trade cost changes τ̂_{ij}, the price index in country j is:</w:t>
        <w:br/>
        <w:br/>
        <w:t xml:space="preserve">    P̂_j = [Σ_i π_{ij} (ŵ_i τ̂_{ij})^{−θ}]^{−1/θ}</w:t>
        <w:br/>
        <w:br/>
        <w:t>and the counterfactual trade shares are:</w:t>
        <w:br/>
        <w:br/>
        <w:t xml:space="preserve">    π̂_{ij} = π_{ij} (ŵ_i τ̂_{ij})^{−θ} / Σ_k π_{kj} (ŵ_k τ̂_{kj})^{−θ}</w:t>
        <w:br/>
        <w:br/>
        <w:t>The system is solved by iteration with a damping factor of 0.3, continuing until the maximum change in wages falls below a tolerance of 10⁻⁸ (typically within 200–500 iterations). Welfare effects are measured by changes in real income (ŵ_i / P̂_i).</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and the following trilemma metrics for each country:</w:t>
        <w:br/>
        <w:br/>
        <w:t xml:space="preserve">    GSI_i = ŵ_i / P̂_i (real income change from trade)</w:t>
        <w:br/>
        <w:t xml:space="preserve">    GDI_j = 1 − Σ_i (π̂_{ij})² (Herfindahl of import shares)</w:t>
        <w:br/>
        <w:t xml:space="preserve">    GEI = Σ_{i∈Developing} X̂_i / Σ_i X̂_i (developing-country export share)</w:t>
        <w:br/>
        <w:br/>
        <w:t>All outcomes are reported as changes from the BAU baseline. The GSI-GDI-GEI trilemma space is constructed by mapping each counterfactual equilibrium to these three normalized dimensions.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(τ̂_{ij} = 1 ∀ i,j). Scenario 2 (Full Decoupling): Trade costs on Chinese exports to high-income importing countries are tripled (τ̂_{China,j} = 3.0), approximating a severe but partial decoupling. Scenario 3 (CBAM Extension): Trade costs on exports from carbon-intensive economies (China, India, Russia, Vietnam, Indonesia, South Africa, Turkey) are increased by 8%, reflecting an approximate $100/tCO₂ carbon price. Scenario 4 (Climate Club, G7 + China): Club members reduce internal trade costs by 15% through zero tariffs and harmonized standards; non-member trade costs are unchanged. Scenario 5 (Inclusive Green Trade): Climate Club framework plus a 15% reduction in trade costs on developing-country exports (representing technology transfer that lowers entry barriers) and a 7% reduction in trade costs on imports to developing countries (representing concessional finance that improves importer access). Scenario 6 (China Export Restrictions): Trade costs on all Chinese exports are doubled (τ̂_{China,j} = 2.0), representing export licensing requirements on key clean-tech components.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(N = 223). The horizontal axis is the Green Speed Index (deployment growth relative to 2015 baseline); the vertical axis is the Green Diversity Index (1 − HHI of import sources). Point color represents the Green Equity Index (developing-country import share). Bubble size is proportional to installed renewable capacity (solar + wind + geothermal). Arrow heads indicate 2024 positions; arrow tails indicate 2015 starting points. Data: CEPII BACI HS12 (V202601), IRENA via Our World in Data.</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$50 million in current USD (edge width proportional to trade value). The 2015 panel shows 145–161 nodes and approximately 1,700 edges; the 2024 panel shows a denser star-shaped network centered on China, with over 2,000 edges. Data: CEPII BACI, 124-product low-carbon technology basket.</w:t>
      </w:r>
    </w:p>
    <w:p>
      <w:pPr>
        <w:pStyle w:val="Heading3"/>
      </w:pPr>
      <w:r>
        <w:rPr>
          <w:rFonts w:ascii="Times New Roman" w:hAnsi="Times New Roman"/>
          <w:rFonts w:eastAsia="黑体"/>
        </w:rPr>
        <w:t>Figure 3 | Causal effects of de-risking policies on clean-tech outcomes: Callaway-Sant'Anna doubly-robust estimates.</w:t>
      </w:r>
    </w:p>
    <w:p>
      <w:pPr>
        <w:spacing w:line="480" w:lineRule="auto"/>
        <w:ind w:firstLine="420"/>
      </w:pPr>
      <w:r>
        <w:rPr>
          <w:rFonts w:ascii="Times New Roman" w:hAnsi="Times New Roman"/>
          <w:b w:val="0"/>
          <w:i w:val="0"/>
          <w:sz w:val="22"/>
          <w:rFonts w:eastAsia="宋体"/>
        </w:rPr>
        <w:t>Event-study estimates of de-risking policy effects on clean-tech import costs, GDI, and developing-country import share (three panels). Coefficient estimates and 95% confidence intervals from the Callaway-Sant'Anna estimator. N = 2,682 country-year observations (223 countries, 2015–2024). The horizontal axis shows binned event time (years relative to first de-risking policy adoption). No significant post-treatment effects are observed for any outcome at the 5% level.</w:t>
      </w:r>
    </w:p>
    <w:p>
      <w:pPr>
        <w:pStyle w:val="Heading3"/>
      </w:pPr>
      <w:r>
        <w:rPr>
          <w:rFonts w:ascii="Times New Roman" w:hAnsi="Times New Roman"/>
          <w:rFonts w:eastAsia="黑体"/>
        </w:rPr>
        <w:t>Figure 4 | Counterfactual policy outcomes: structural model results.</w:t>
      </w:r>
    </w:p>
    <w:p>
      <w:pPr>
        <w:spacing w:line="480" w:lineRule="auto"/>
        <w:ind w:firstLine="420"/>
      </w:pPr>
      <w:r>
        <w:rPr>
          <w:rFonts w:ascii="Times New Roman" w:hAnsi="Times New Roman"/>
          <w:b w:val="0"/>
          <w:i w:val="0"/>
          <w:sz w:val="22"/>
          <w:rFonts w:eastAsia="宋体"/>
        </w:rPr>
        <w:t>Dot-whisker plot showing percentage change in three outcome dimensions relative to the Business-as-Usual (BAU) scenario. The decarbonization speed panel (left) reports the change in the Green Speed Index proxy (real income change from trade); the supply chain diversity panel (centre) reports the change in GDI (1 minus Herfindahl of import shares); the developing-country export share panel (right) reports the change in GEI. The five scenarios exclude BAU. The Inclusive Green Trade scenario (Scenario 5) is the only configuration that improves all three trilemma dimensions simultaneously (+13.7 pp GSI, +15.8% GEI, -1.2% GDI). Horizontal bars represent the point estimates; dashed vertical line at zero marks the BAU baseline. DEK exact-hat algebra, theta = 4.2, N = 40 countries.</w:t>
      </w:r>
    </w:p>
    <w:p>
      <w:pPr>
        <w:spacing w:line="480" w:lineRule="auto"/>
        <w:ind w:firstLine="420"/>
      </w:pPr>
      <w:r>
        <w:rPr>
          <w:rFonts w:ascii="Times New Roman" w:hAnsi="Times New Roman"/>
          <w:b w:val="0"/>
          <w:i w:val="0"/>
          <w:sz w:val="22"/>
          <w:rFonts w:eastAsia="宋体"/>
        </w:rPr>
        <w:t xml:space="preserve"/>
      </w:r>
    </w:p>
    <w:p>
      <w:pPr>
        <w:spacing w:line="480" w:lineRule="auto"/>
        <w:ind w:firstLine="420"/>
      </w:pPr>
      <w:r>
        <w:rPr>
          <w:rFonts w:ascii="Times New Roman" w:hAnsi="Times New Roman"/>
          <w:b w:val="0"/>
          <w:i w:val="0"/>
          <w:sz w:val="22"/>
          <w:rFonts w:eastAsia="宋体"/>
        </w:rPr>
        <w:t xml:space="preserve">Figure 5 | Temporal evolution of the green trade trilemma by income group, 2015–2024.</w:t>
      </w:r>
    </w:p>
    <w:p>
      <w:pPr>
        <w:spacing w:line="480" w:lineRule="auto"/>
        <w:ind w:firstLine="420"/>
      </w:pPr>
      <w:r>
        <w:rPr>
          <w:rFonts w:ascii="Times New Roman" w:hAnsi="Times New Roman"/>
          <w:b w:val="0"/>
          <w:i w:val="0"/>
          <w:sz w:val="22"/>
          <w:rFonts w:eastAsia="宋体"/>
        </w:rPr>
        <w:t xml:space="preserve">Three-panel time-series plot showing the mean values of the Green Speed Index (GSI, left), Green Diversity Index (GDI, centre), and Green Equity Index (GEI, right) for high-income (solid blue line) and developing (dashed orange line) countries. The vertical dotted line at 2020 marks the onset of major de-risking policies. The temporal trends reveal three patterns: (1) a widening divergence in decarbonization speed between high-income and developing countries, with high-income countries accelerating deployment faster after 2020; (2) a gradual decline in import source diversity for both income groups as clean-tech supply chains concentrated around China; and (3) a reversal in developing-country export share after 2022, as de-risking policies redirected trade toward developed-country suppliers at the expense of developing-country exporters. N = 223 countries; data from CEPII BACI HS12 (V202601) and IRENA via Our World in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