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实验样本19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补偿：依法足额发放加班工资，并在加班前明确排班通知。</w:t>
      </w:r>
    </w:p>
    <w:p>
      <w:r>
        <w:t>期望薪资：税前 7000–9000 元/月，可结合岗位定级与技术能力协商。</w:t>
      </w:r>
    </w:p>
    <w:p>
      <w:r>
        <w:t>工作地点：武汉（车谷经开区智能网联试验区），希望线下到岗。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