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实验样本44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加班意愿：希望工作时间相对规范，按国家法定节假日休息，遇重大新车发布可配合攻坚。</w:t>
      </w:r>
    </w:p>
    <w:p>
      <w:r>
        <w:t>加班费 / 补偿：按照国家法定标准提供加班补贴或安排对等调休。</w:t>
      </w:r>
    </w:p>
    <w:p>
      <w:r>
        <w:t>期望薪资：税前 8500–11000 元/月，期望技术路线长期发展，岗位职责明确。</w:t>
      </w:r>
    </w:p>
    <w:p>
      <w:r>
        <w:t>工作地点：合肥（经开区或新桥智能电动汽车产业园），接受现场办公。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