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补偿：加班后优先安排调休，超出部分按规定结算。</w:t>
      </w:r>
    </w:p>
    <w:p>
      <w:r>
        <w:t>期望薪资：税前 8500–11000 元/月，具体可结合岗位职责协商。</w:t>
      </w:r>
    </w:p>
    <w:p>
      <w:r>
        <w:t>工作地点：上海，接受线下到岗。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