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before="0"/>
        <w:jc w:val="left"/>
      </w:pPr>
      <w:r>
        <w:rPr>
          <w:rFonts w:ascii="Times New Roman" w:hAnsi="Times New Roman" w:cs="Times New Roman" w:eastAsia="Times New Roman"/>
          <w:b w:val="0"/>
          <w:i w:val="0"/>
          <w:sz w:val="22"/>
        </w:rPr>
        <w:t>UDC 004.8:37</w:t>
      </w:r>
    </w:p>
    <w:p>
      <w:pPr>
        <w:spacing w:line="240" w:lineRule="auto" w:after="120" w:before="40"/>
        <w:jc w:val="center"/>
      </w:pPr>
      <w:r>
        <w:rPr>
          <w:rFonts w:ascii="Times New Roman" w:hAnsi="Times New Roman" w:cs="Times New Roman" w:eastAsia="Times New Roman"/>
          <w:b/>
          <w:i w:val="0"/>
          <w:sz w:val="24"/>
        </w:rPr>
        <w:t>DOES FEATURE RICHNESS HELP? A REPRODUCIBLE, HONEST EVALUATION OF A STUDENT DIGITAL TWIN AND ITS EXPLANATION STABILITY ACROSS TWO INSTITUTIONS</w:t>
      </w:r>
    </w:p>
    <w:p>
      <w:pPr>
        <w:spacing w:line="240" w:lineRule="auto" w:after="120" w:before="40"/>
        <w:jc w:val="center"/>
      </w:pPr>
      <w:r>
        <w:rPr>
          <w:rFonts w:ascii="Times New Roman" w:hAnsi="Times New Roman" w:cs="Times New Roman" w:eastAsia="Times New Roman"/>
          <w:b/>
          <w:i w:val="0"/>
          <w:sz w:val="24"/>
        </w:rPr>
        <w:t>ПОМОГАЕТ ЛИ БОГАТСТВО ПРИЗНАКОВ? ВОСПРОИЗВОДИМАЯ И ЧЕСТНАЯ ОЦЕНКА ЦИФРОВОГО ДВОЙНИКА СТУДЕНТА И УСТОЙЧИВОСТИ ЕГО ОБЪЯСНЕНИЙ В ДВУХ УЧРЕЖДЕНИЯХ</w:t>
      </w:r>
    </w:p>
    <w:p>
      <w:pPr>
        <w:spacing w:line="240" w:lineRule="auto" w:after="120" w:before="40"/>
        <w:jc w:val="center"/>
      </w:pPr>
      <w:r>
        <w:rPr>
          <w:rFonts w:ascii="Times New Roman" w:hAnsi="Times New Roman" w:cs="Times New Roman" w:eastAsia="Times New Roman"/>
          <w:b/>
          <w:i w:val="0"/>
          <w:sz w:val="24"/>
        </w:rPr>
        <w:t>БЕЛГІЛЕРДІҢ МОЛДЫҒЫ КӨМЕКТЕСЕ МЕ? СТУДЕНТТІҢ ЦИФРЛЫҚ ЕГІЗІН ЖӘНЕ ОНЫҢ ТҮСІНДІРМЕЛЕРІНІҢ ЕКІ МЕКЕМЕ БОЙЫНША ТҰРАҚТЫЛЫҒЫН ҚАЙТАЛАНАТЫН ЖӘНЕ АДАЛ БАҒАЛАУ</w:t>
      </w:r>
    </w:p>
    <w:p>
      <w:pPr>
        <w:spacing w:line="240" w:lineRule="auto" w:after="40" w:before="120"/>
        <w:jc w:val="center"/>
      </w:pPr>
      <w:r>
        <w:rPr>
          <w:rFonts w:ascii="Times New Roman" w:hAnsi="Times New Roman" w:cs="Times New Roman" w:eastAsia="Times New Roman"/>
          <w:b/>
          <w:i w:val="0"/>
          <w:sz w:val="24"/>
        </w:rPr>
        <w:t>A. Talgat*</w:t>
      </w:r>
    </w:p>
    <w:p>
      <w:pPr>
        <w:spacing w:line="240" w:lineRule="auto" w:after="40" w:before="0"/>
        <w:jc w:val="center"/>
      </w:pPr>
      <w:r>
        <w:rPr>
          <w:rFonts w:ascii="Times New Roman" w:hAnsi="Times New Roman" w:cs="Times New Roman" w:eastAsia="Times New Roman"/>
          <w:b w:val="0"/>
          <w:i/>
          <w:sz w:val="22"/>
        </w:rPr>
        <w:t>Undergraduate Researcher, School of Software Engineering, Astana IT University, Astana, Kazakhstan</w:t>
      </w:r>
    </w:p>
    <w:p>
      <w:pPr>
        <w:spacing w:line="240" w:lineRule="auto" w:after="40" w:before="80"/>
        <w:jc w:val="center"/>
      </w:pPr>
      <w:r>
        <w:rPr>
          <w:rFonts w:ascii="Times New Roman" w:hAnsi="Times New Roman" w:cs="Times New Roman" w:eastAsia="Times New Roman"/>
          <w:b/>
          <w:i w:val="0"/>
          <w:sz w:val="24"/>
        </w:rPr>
        <w:t>А. Талгат*</w:t>
      </w:r>
    </w:p>
    <w:p>
      <w:pPr>
        <w:spacing w:line="240" w:lineRule="auto" w:after="40" w:before="0"/>
        <w:jc w:val="center"/>
      </w:pPr>
      <w:r>
        <w:rPr>
          <w:rFonts w:ascii="Times New Roman" w:hAnsi="Times New Roman" w:cs="Times New Roman" w:eastAsia="Times New Roman"/>
          <w:b w:val="0"/>
          <w:i/>
          <w:sz w:val="22"/>
        </w:rPr>
        <w:t>Студент-исследователь, Школа программной инженерии, Astana IT University, Астана, Казахстан</w:t>
      </w:r>
    </w:p>
    <w:p>
      <w:pPr>
        <w:spacing w:line="240" w:lineRule="auto" w:after="40" w:before="80"/>
        <w:jc w:val="center"/>
      </w:pPr>
      <w:r>
        <w:rPr>
          <w:rFonts w:ascii="Times New Roman" w:hAnsi="Times New Roman" w:cs="Times New Roman" w:eastAsia="Times New Roman"/>
          <w:b/>
          <w:i w:val="0"/>
          <w:sz w:val="24"/>
        </w:rPr>
        <w:t>А. Талғат*</w:t>
      </w:r>
    </w:p>
    <w:p>
      <w:pPr>
        <w:spacing w:line="240" w:lineRule="auto" w:after="40" w:before="0"/>
        <w:jc w:val="center"/>
      </w:pPr>
      <w:r>
        <w:rPr>
          <w:rFonts w:ascii="Times New Roman" w:hAnsi="Times New Roman" w:cs="Times New Roman" w:eastAsia="Times New Roman"/>
          <w:b w:val="0"/>
          <w:i/>
          <w:sz w:val="22"/>
        </w:rPr>
        <w:t>Студент-зерттеуші, Бағдарламалық инженерия мектебі, Astana IT University, Астана, Қазақстан</w:t>
      </w:r>
    </w:p>
    <w:p>
      <w:pPr>
        <w:spacing w:line="240" w:lineRule="auto" w:after="40" w:before="80"/>
        <w:jc w:val="center"/>
      </w:pPr>
      <w:r>
        <w:rPr>
          <w:rFonts w:ascii="Times New Roman" w:hAnsi="Times New Roman" w:cs="Times New Roman" w:eastAsia="Times New Roman"/>
          <w:b w:val="0"/>
          <w:i w:val="0"/>
          <w:sz w:val="22"/>
        </w:rPr>
        <w:t>ORCID: 0000-0000-0000-0000</w:t>
      </w:r>
    </w:p>
    <w:p>
      <w:pPr>
        <w:spacing w:line="240" w:lineRule="auto" w:after="40" w:before="80"/>
        <w:jc w:val="center"/>
      </w:pPr>
      <w:r>
        <w:rPr>
          <w:rFonts w:ascii="Times New Roman" w:hAnsi="Times New Roman" w:cs="Times New Roman" w:eastAsia="Times New Roman"/>
          <w:b/>
          <w:i w:val="0"/>
          <w:sz w:val="22"/>
        </w:rPr>
        <w:t>[Co-author 2 — position, academic degree and title, organization, city, country (in three languages)] — ORCID: 0000-0000-0000-0000</w:t>
      </w:r>
    </w:p>
    <w:p>
      <w:pPr>
        <w:spacing w:line="240" w:lineRule="auto" w:after="40" w:before="40"/>
        <w:jc w:val="center"/>
      </w:pPr>
      <w:r>
        <w:rPr>
          <w:rFonts w:ascii="Times New Roman" w:hAnsi="Times New Roman" w:cs="Times New Roman" w:eastAsia="Times New Roman"/>
          <w:b/>
          <w:i w:val="0"/>
          <w:sz w:val="22"/>
        </w:rPr>
        <w:t>[Co-author 3 — position, academic degree and title, organization, city, country (in three languages)] — ORCID: 0000-0000-0000-0000</w:t>
      </w:r>
    </w:p>
    <w:p>
      <w:pPr>
        <w:spacing w:line="240" w:lineRule="auto" w:after="120" w:before="80"/>
        <w:jc w:val="center"/>
      </w:pPr>
      <w:r>
        <w:rPr>
          <w:rFonts w:ascii="Times New Roman" w:hAnsi="Times New Roman" w:cs="Times New Roman" w:eastAsia="Times New Roman"/>
          <w:b w:val="0"/>
          <w:i w:val="0"/>
          <w:sz w:val="22"/>
        </w:rPr>
        <w:t>*Corresponding author: A. Talgat, a1byn.talgat05@gmail.com</w:t>
      </w:r>
    </w:p>
    <w:p>
      <w:pPr>
        <w:spacing w:line="240" w:lineRule="auto" w:after="80" w:before="200"/>
        <w:jc w:val="left"/>
      </w:pPr>
      <w:r>
        <w:rPr>
          <w:rFonts w:ascii="Times New Roman" w:hAnsi="Times New Roman" w:cs="Times New Roman" w:eastAsia="Times New Roman"/>
          <w:b/>
          <w:i w:val="0"/>
          <w:sz w:val="24"/>
        </w:rPr>
        <w:t>Abstract</w:t>
      </w:r>
    </w:p>
    <w:p>
      <w:pPr>
        <w:spacing w:line="240" w:lineRule="auto" w:after="80" w:before="0"/>
        <w:ind w:firstLine="567"/>
        <w:jc w:val="both"/>
      </w:pPr>
      <w:r>
        <w:rPr>
          <w:rFonts w:ascii="Times New Roman" w:hAnsi="Times New Roman" w:cs="Times New Roman" w:eastAsia="Times New Roman"/>
          <w:b w:val="0"/>
          <w:i w:val="0"/>
          <w:sz w:val="22"/>
        </w:rPr>
        <w:t>Learning management systems record large volumes of educational activity, but their built-in analytics are mostly descriptive rather than predictive. The purpose of this study is to test, rather than assume, whether engineered Student Digital Twin features improve grade prediction over a competent LMS baseline and whether the accompanying explanations are stable enough to show a teacher. The methodology is a dependency-driven sequence of leakage-aware experiments coupling a weekly student-state representation with a gradient-boosting predictor and a perturbation-based explainable-AI layer, evaluated through a nested feature ablation on public data from two institutions. The originality lies in an end-to-end, reproducible, honest multi-cohort evaluation, including a documented synthetic-target circularity failure mode. The results show that adding feature richness does not robustly help: no Twin block beats the baseline by more than 1.0 RMSE on the primary cohort, only one cell shows a gain, and explanation rankings are regime-sensitive (Kendall τ 0.32–0.79).</w:t>
      </w:r>
    </w:p>
    <w:p>
      <w:pPr>
        <w:spacing w:line="240" w:lineRule="auto" w:after="120" w:before="0"/>
        <w:ind w:firstLine="567"/>
        <w:jc w:val="both"/>
      </w:pPr>
      <w:r>
        <w:rPr>
          <w:rFonts w:ascii="Times New Roman" w:hAnsi="Times New Roman" w:cs="Times New Roman" w:eastAsia="Times New Roman"/>
          <w:b/>
          <w:i w:val="0"/>
          <w:sz w:val="22"/>
        </w:rPr>
        <w:t xml:space="preserve">Keywords: </w:t>
      </w:r>
      <w:r>
        <w:rPr>
          <w:rFonts w:ascii="Times New Roman" w:hAnsi="Times New Roman" w:cs="Times New Roman" w:eastAsia="Times New Roman"/>
          <w:b w:val="0"/>
          <w:i w:val="0"/>
          <w:sz w:val="22"/>
        </w:rPr>
        <w:t>learning analytics; explainable AI; explanation stability; student performance prediction; digital twin; gradient boosting; reproducibility</w:t>
      </w:r>
    </w:p>
    <w:p>
      <w:pPr>
        <w:spacing w:line="240" w:lineRule="auto" w:after="80" w:before="200"/>
        <w:jc w:val="left"/>
      </w:pPr>
      <w:r>
        <w:rPr>
          <w:rFonts w:ascii="Times New Roman" w:hAnsi="Times New Roman" w:cs="Times New Roman" w:eastAsia="Times New Roman"/>
          <w:b/>
          <w:i w:val="0"/>
          <w:sz w:val="24"/>
        </w:rPr>
        <w:t>Аннотация</w:t>
      </w:r>
    </w:p>
    <w:p>
      <w:pPr>
        <w:spacing w:line="240" w:lineRule="auto" w:after="80" w:before="0"/>
        <w:ind w:firstLine="567"/>
        <w:jc w:val="both"/>
      </w:pPr>
      <w:r>
        <w:rPr>
          <w:rFonts w:ascii="Times New Roman" w:hAnsi="Times New Roman" w:cs="Times New Roman" w:eastAsia="Times New Roman"/>
          <w:b w:val="0"/>
          <w:i w:val="0"/>
          <w:sz w:val="22"/>
        </w:rPr>
        <w:t>Системы управления обучением фиксируют большие объёмы учебной активности, однако их встроенная аналитика преимущественно описательна, а не прогнозна. Цель исследования — проверить, а не предполагать, улучшают ли инженерные признаки цифрового двойника студента прогноз оценки по сравнению с компетентной базовой LMS-моделью и достаточно ли устойчивы объяснения, чтобы показывать их преподавателю. Методология — управляемая зависимостями последовательность зафиксированных, защищённых от утечек экспериментов, объединяющая учитывающее время недельное представление состояния студента с прогнозирующей моделью градиентного бустинга и слоем объяснимого ИИ на основе пертурбаций, оцениваемая через вложенную абляцию признаков на открытых данных двух учреждений. Оригинальность состоит в сквозной, воспроизводимой и честной мультикогортной оценке, включая задокументированный сбой циркулярности синтетической цели. Результаты показывают, что добавление богатства признаков не помогает устойчиво: ни один блок двойника не превосходит базовую модель более чем на 1,0 RMSE на основной когорте, лишь одна межкогортная ячейка даёт прирост, а ранги объяснений зависят от режима (Kendall τ 0,32–0,79).</w:t>
      </w:r>
    </w:p>
    <w:p>
      <w:pPr>
        <w:spacing w:line="240" w:lineRule="auto" w:after="120" w:before="0"/>
        <w:ind w:firstLine="567"/>
        <w:jc w:val="both"/>
      </w:pPr>
      <w:r>
        <w:rPr>
          <w:rFonts w:ascii="Times New Roman" w:hAnsi="Times New Roman" w:cs="Times New Roman" w:eastAsia="Times New Roman"/>
          <w:b/>
          <w:i w:val="0"/>
          <w:sz w:val="22"/>
        </w:rPr>
        <w:t xml:space="preserve">Ключевые слова: </w:t>
      </w:r>
      <w:r>
        <w:rPr>
          <w:rFonts w:ascii="Times New Roman" w:hAnsi="Times New Roman" w:cs="Times New Roman" w:eastAsia="Times New Roman"/>
          <w:b w:val="0"/>
          <w:i w:val="0"/>
          <w:sz w:val="22"/>
        </w:rPr>
        <w:t>учебная аналитика; объяснимый ИИ; устойчивость объяснений; прогнозирование успеваемости; цифровой двойник; градиентный бустинг; воспроизводимость</w:t>
      </w:r>
    </w:p>
    <w:p>
      <w:pPr>
        <w:spacing w:line="240" w:lineRule="auto" w:after="80" w:before="200"/>
        <w:jc w:val="left"/>
      </w:pPr>
      <w:r>
        <w:rPr>
          <w:rFonts w:ascii="Times New Roman" w:hAnsi="Times New Roman" w:cs="Times New Roman" w:eastAsia="Times New Roman"/>
          <w:b/>
          <w:i w:val="0"/>
          <w:sz w:val="24"/>
        </w:rPr>
        <w:t>Түйін</w:t>
      </w:r>
    </w:p>
    <w:p>
      <w:pPr>
        <w:spacing w:line="240" w:lineRule="auto" w:after="80" w:before="0"/>
        <w:ind w:firstLine="567"/>
        <w:jc w:val="both"/>
      </w:pPr>
      <w:r>
        <w:rPr>
          <w:rFonts w:ascii="Times New Roman" w:hAnsi="Times New Roman" w:cs="Times New Roman" w:eastAsia="Times New Roman"/>
          <w:b w:val="0"/>
          <w:i w:val="0"/>
          <w:sz w:val="22"/>
        </w:rPr>
        <w:t>Оқытуды басқару жүйелері оқу әрекетінің үлкен көлемін тіркейді, бірақ олардың кіріктірілген аналитикасы көбіне сипаттамалық, болжамдық емес сипатта болады. Зерттеудің мақсаты — студенттің цифрлық егізінің инженерлік белгілері баға болжамын құзыретті базалық LMS моделімен салыстырғанда жақсартатынын және түсіндірмелердің мұғалімге көрсетуге жеткілікті тұрақты екенін болжамай, тексеру. Әдіснама — тәуелділікке негізделген, ағып кетуден қорғалған, бекітілген эксперименттер тізбегі; ол студент күйінің уақытты ескеретін апталық көрінісін градиенттік бустинг болжаушысымен және пертурбацияға негізделген түсіндірілетін ЖИ қабатымен біріктіреді әрі екі мекеменің ашық деректерінде кірістірілген белгілер абляциясы арқылы бағаланады. Жаңалығы — ұштан-ұшқа, қайталанатын әрі адал көпкогорттық бағалауда, оның ішінде синтетикалық мақсаттың циркулярлық сәтсіздік режимін құжаттауда. Нәтижелер белгілер молдығын қосу тұрақты түрде көмектеспейтінін көрсетеді: бірде-бір егіз блогы негізгі когортта базалық модельден 1,0 RMSE-ден артық озбайды, тек бір когортаралық ұяшық өсім береді, ал түсіндірме рангтары режимге тәуелді (Kendall τ 0,32–0,79).</w:t>
      </w:r>
    </w:p>
    <w:p>
      <w:pPr>
        <w:spacing w:line="240" w:lineRule="auto" w:after="120" w:before="0"/>
        <w:ind w:firstLine="567"/>
        <w:jc w:val="both"/>
      </w:pPr>
      <w:r>
        <w:rPr>
          <w:rFonts w:ascii="Times New Roman" w:hAnsi="Times New Roman" w:cs="Times New Roman" w:eastAsia="Times New Roman"/>
          <w:b/>
          <w:i w:val="0"/>
          <w:sz w:val="22"/>
        </w:rPr>
        <w:t xml:space="preserve">Кілт сөздер: </w:t>
      </w:r>
      <w:r>
        <w:rPr>
          <w:rFonts w:ascii="Times New Roman" w:hAnsi="Times New Roman" w:cs="Times New Roman" w:eastAsia="Times New Roman"/>
          <w:b w:val="0"/>
          <w:i w:val="0"/>
          <w:sz w:val="22"/>
        </w:rPr>
        <w:t>оқу аналитикасы; түсіндірілетін ЖИ; түсіндірмелердің тұрақтылығы; үлгерімді болжау; цифрлық егіз; градиенттік бустинг; қайталанушылық</w:t>
      </w:r>
    </w:p>
    <w:p>
      <w:pPr>
        <w:spacing w:line="240" w:lineRule="auto" w:after="80" w:before="200"/>
        <w:jc w:val="left"/>
      </w:pPr>
      <w:r>
        <w:rPr>
          <w:rFonts w:ascii="Times New Roman" w:hAnsi="Times New Roman" w:cs="Times New Roman" w:eastAsia="Times New Roman"/>
          <w:b/>
          <w:i w:val="0"/>
          <w:sz w:val="24"/>
        </w:rPr>
        <w:t>Introduction</w:t>
      </w:r>
    </w:p>
    <w:p>
      <w:pPr>
        <w:spacing w:line="240" w:lineRule="auto" w:after="120" w:before="0"/>
        <w:ind w:firstLine="567"/>
        <w:jc w:val="both"/>
      </w:pPr>
      <w:r>
        <w:rPr>
          <w:rFonts w:ascii="Times New Roman" w:hAnsi="Times New Roman" w:cs="Times New Roman" w:eastAsia="Times New Roman"/>
          <w:b w:val="0"/>
          <w:i w:val="0"/>
          <w:sz w:val="24"/>
        </w:rPr>
        <w:t>Learning management systems (LMS) capture attendance, submissions, marks, and clickstream activity, yet teachers still lack an integrated, forward-looking view of a student's evolving academic state, the likely end-of-course outcome, and the factors behind that estimate. Most published learning-analytics work optimises a classifier for accuracy on a held-out split and appends post-hoc explanations, reporting only the best configuration on a single cohort. This leaves three practical questions unanswered: whether a Digital-Twin representation of student state adds defensible value over a plain LMS feature set, whether the resulting explanations are stable enough to show a teacher, and whether the whole cycle can be implemented and reproduced on real public data.</w:t>
      </w:r>
    </w:p>
    <w:p>
      <w:pPr>
        <w:spacing w:line="240" w:lineRule="auto" w:after="120" w:before="0"/>
        <w:ind w:firstLine="567"/>
        <w:jc w:val="both"/>
      </w:pPr>
      <w:r>
        <w:rPr>
          <w:rFonts w:ascii="Times New Roman" w:hAnsi="Times New Roman" w:cs="Times New Roman" w:eastAsia="Times New Roman"/>
          <w:b w:val="0"/>
          <w:i w:val="0"/>
          <w:sz w:val="24"/>
        </w:rPr>
        <w:t>This paper addresses those questions with a working prototype and an explicitly honest evaluation. The central object is the student modelled as a dynamic digital twin: weekly state snapshots at the grain 1 row = 1 student × 1 week. The term “Digital Twin” here denotes a lean, time-aware state representation, not a full counterfactual simulation engine. We retain the term deliberately but scope it narrowly: the twin maintains a descriptive weekly state and includes a lightweight what-if layer — estimating the predicted-grade change if a flagged factor reached its cohort median — rather than a mechanistic simulation. Full simulation and causal counterfactual reasoning are treated as explicit design boundaries rather than implicit promises. Around this representation we build a gradient-boosting predictor, a perturbation-based explainable-AI (XAI) layer, and a Next.js teacher interface that reads frozen prediction artifacts.</w:t>
      </w:r>
    </w:p>
    <w:p>
      <w:pPr>
        <w:spacing w:line="240" w:lineRule="auto" w:after="120" w:before="0"/>
        <w:ind w:firstLine="567"/>
        <w:jc w:val="both"/>
      </w:pPr>
      <w:r>
        <w:rPr>
          <w:rFonts w:ascii="Times New Roman" w:hAnsi="Times New Roman" w:cs="Times New Roman" w:eastAsia="Times New Roman"/>
          <w:b/>
          <w:i w:val="0"/>
          <w:sz w:val="24"/>
        </w:rPr>
        <w:t xml:space="preserve">Literature review. </w:t>
      </w:r>
      <w:r>
        <w:rPr>
          <w:rFonts w:ascii="Times New Roman" w:hAnsi="Times New Roman" w:cs="Times New Roman" w:eastAsia="Times New Roman"/>
          <w:b w:val="0"/>
          <w:i w:val="0"/>
          <w:sz w:val="24"/>
        </w:rPr>
        <w:t>Training gradient boosting or random forests on the Open University Learning Analytics Dataset (OULAD) and adding SHAP explanations post-hoc is now standard practice [4]–[7]. Published benchmarks reach ROC-AUC 0.993 and F1 0.911 on dropout prediction [4]. Adding explainability is therefore no longer a contribution by itself, and continuous-grade regression — used here alongside classification — is comparatively less common but not sufficient on its own. Tiukhova et al. [2] showed that XAI-derived feature importance for student-success models can be unstable across configurations; we extend this stability lens from the single-model setting to a transfer setting, measuring rank agreement across evaluation splits, across two OULAD courses, and across institutions. Digital twins in education appear mostly as conceptual or review work [8]; working implementations of a student digital twin on real data are essentially absent. Teacher-facing interfaces in peer-reviewed work publish model metrics, not systems; commercial platforms (EAB Navigate, Civitas Learning, Brightspace Insights) have dashboards but are closed and undocumented. Papers that add SHAP rarely address how teachers may misinterpret explanations or the difference between model-behaviour description and causal claim.</w:t>
      </w:r>
    </w:p>
    <w:p>
      <w:pPr>
        <w:spacing w:line="240" w:lineRule="auto" w:after="120" w:before="0"/>
        <w:ind w:firstLine="567"/>
        <w:jc w:val="both"/>
      </w:pPr>
      <w:r>
        <w:rPr>
          <w:rFonts w:ascii="Times New Roman" w:hAnsi="Times New Roman" w:cs="Times New Roman" w:eastAsia="Times New Roman"/>
          <w:b/>
          <w:i w:val="0"/>
          <w:sz w:val="24"/>
        </w:rPr>
        <w:t xml:space="preserve">Research gap and key provisions. </w:t>
      </w:r>
      <w:r>
        <w:rPr>
          <w:rFonts w:ascii="Times New Roman" w:hAnsi="Times New Roman" w:cs="Times New Roman" w:eastAsia="Times New Roman"/>
          <w:b w:val="0"/>
          <w:i w:val="0"/>
          <w:sz w:val="24"/>
        </w:rPr>
        <w:t>No published work implements and honestly evaluates a full-cycle prototype — raw data → weekly twin snapshots → predictions → per-student explanations → teacher UI — on real public data, with explicit documentation of where the added components fail to beat a simpler baseline. This paper targets that gap. The novelty is not a new algorithm or a higher accuracy number. It is the combination of (1) an end-to-end, open, leakage-aware pipeline from raw OULAD data to teacher-facing weekly explanations; (2) a dependency-driven ablation that tests the Twin representation instead of assuming it; (3) an explanation-stability analysis across splits, courses, and institutions; and (4) an honest multi-cohort finding — including a documented synthetic-data circularity failure mode — of a kind systematically underrepresented in the literature.</w:t>
      </w:r>
    </w:p>
    <w:p>
      <w:pPr>
        <w:spacing w:line="240" w:lineRule="auto" w:after="80" w:before="200"/>
        <w:jc w:val="left"/>
      </w:pPr>
      <w:r>
        <w:rPr>
          <w:rFonts w:ascii="Times New Roman" w:hAnsi="Times New Roman" w:cs="Times New Roman" w:eastAsia="Times New Roman"/>
          <w:b/>
          <w:i w:val="0"/>
          <w:sz w:val="24"/>
        </w:rPr>
        <w:t>Materials and Methods</w:t>
      </w:r>
    </w:p>
    <w:p>
      <w:pPr>
        <w:spacing w:line="240" w:lineRule="auto" w:after="80" w:before="200"/>
        <w:jc w:val="left"/>
      </w:pPr>
      <w:r>
        <w:rPr>
          <w:rFonts w:ascii="Times New Roman" w:hAnsi="Times New Roman" w:cs="Times New Roman" w:eastAsia="Times New Roman"/>
          <w:b/>
          <w:i/>
          <w:sz w:val="24"/>
        </w:rPr>
        <w:t>Theoretical analysis: system architecture</w:t>
      </w:r>
    </w:p>
    <w:p>
      <w:pPr>
        <w:spacing w:line="240" w:lineRule="auto" w:after="120" w:before="0"/>
        <w:ind w:firstLine="567"/>
        <w:jc w:val="both"/>
      </w:pPr>
      <w:r>
        <w:rPr>
          <w:rFonts w:ascii="Times New Roman" w:hAnsi="Times New Roman" w:cs="Times New Roman" w:eastAsia="Times New Roman"/>
          <w:b w:val="0"/>
          <w:i w:val="0"/>
          <w:sz w:val="24"/>
        </w:rPr>
        <w:t>The prototype is a monorepo with two independently runnable services and a strict read-only boundary between computation and presentation.</w:t>
      </w:r>
    </w:p>
    <w:p>
      <w:pPr>
        <w:spacing w:line="240" w:lineRule="auto" w:after="120" w:before="0"/>
        <w:ind w:firstLine="567"/>
        <w:jc w:val="both"/>
      </w:pPr>
      <w:r>
        <w:rPr>
          <w:rFonts w:ascii="Times New Roman" w:hAnsi="Times New Roman" w:cs="Times New Roman" w:eastAsia="Times New Roman"/>
          <w:b w:val="0"/>
          <w:i w:val="0"/>
          <w:sz w:val="24"/>
        </w:rPr>
        <w:t>The ML service (services/ml/, Python) contains the OULAD data adapter, the weekly snapshot builder, the feature-engineering pipeline, the experiment runner, the model-training code, and the perturbation-based XAI module. All experiment outputs are versioned JSON/CSV artifacts under data/artifacts/experiments/&lt;experiment_id&gt;/. The Web service (apps/web/, Next.js) is a server-side-rendered frontend that reads the frozen artifacts at request time and serves teacher-facing views; it performs no ML computation, so results are reproducible independently of the UI and the UI is testable without retraining. The data flow is: raw OULAD CSV → OULAD adapter → weekly snapshot table (one row per student per week) → feature engineering → trained Gradient Boosting model → prediction and perturbation-based explanation artifacts → JSON consumed by the web app.</w:t>
      </w:r>
    </w:p>
    <w:p>
      <w:pPr>
        <w:spacing w:line="240" w:lineRule="auto" w:after="40" w:before="120"/>
        <w:jc w:val="center"/>
      </w:pPr>
      <w:r>
        <w:drawing>
          <wp:inline xmlns:a="http://schemas.openxmlformats.org/drawingml/2006/main" xmlns:pic="http://schemas.openxmlformats.org/drawingml/2006/picture">
            <wp:extent cx="5760000" cy="67591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000" cy="675918"/>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1 – End-to-end architecture: raw OULAD CSV → ML service (adapter → weekly snapshots → feature engineering → Gradient Boosting → XAI) → frozen JSON artifacts → read-only Next.js teacher interface.</w:t>
      </w:r>
    </w:p>
    <w:p>
      <w:pPr>
        <w:spacing w:line="240" w:lineRule="auto" w:after="120" w:before="0"/>
        <w:ind w:firstLine="567"/>
        <w:jc w:val="both"/>
      </w:pPr>
      <w:r>
        <w:rPr>
          <w:rFonts w:ascii="Times New Roman" w:hAnsi="Times New Roman" w:cs="Times New Roman" w:eastAsia="Times New Roman"/>
          <w:b w:val="0"/>
          <w:i w:val="0"/>
          <w:sz w:val="24"/>
        </w:rPr>
        <w:t>The teacher interface comprises a cohort dashboard — a sortable, filterable table of all students with predicted grade, pass-risk badge, current week, and key LMS signals — and a student detail page with summary cards (predicted vs. actual grade, risk, mastery, activity, attendance, assignment/quiz averages, 3-week trend), a weekly trajectory chart, a raw weekly-snapshot table, an explanation panel listing which signals raise or lower the current-week prediction, and a what-if panel showing the estimated predicted-grade gain if each flagged below-median factor reached its cohort median. The explanation panel carries an explicit XAI limitation notice: the factors describe model behaviour, not causes; the score is not a sole basis for intervention; and rankings can shift across time periods and cohorts. We present the interface as a design demonstrator whose presentation of XAI output is derived from the explanation-stability result, not as an evaluated intervention; no user study is claimed here.</w:t>
      </w:r>
    </w:p>
    <w:p>
      <w:pPr>
        <w:spacing w:line="240" w:lineRule="auto" w:after="40" w:before="120"/>
        <w:jc w:val="center"/>
      </w:pPr>
      <w:r>
        <w:drawing>
          <wp:inline xmlns:a="http://schemas.openxmlformats.org/drawingml/2006/main" xmlns:pic="http://schemas.openxmlformats.org/drawingml/2006/picture">
            <wp:extent cx="5760000" cy="6600000"/>
            <wp:docPr id="2" name="Picture 2"/>
            <wp:cNvGraphicFramePr>
              <a:graphicFrameLocks noChangeAspect="1"/>
            </wp:cNvGraphicFramePr>
            <a:graphic>
              <a:graphicData uri="http://schemas.openxmlformats.org/drawingml/2006/picture">
                <pic:pic>
                  <pic:nvPicPr>
                    <pic:cNvPr id="0" name="fig2_dashboard.png"/>
                    <pic:cNvPicPr/>
                  </pic:nvPicPr>
                  <pic:blipFill>
                    <a:blip r:embed="rId10"/>
                    <a:stretch>
                      <a:fillRect/>
                    </a:stretch>
                  </pic:blipFill>
                  <pic:spPr>
                    <a:xfrm>
                      <a:off x="0" y="0"/>
                      <a:ext cx="5760000" cy="6600000"/>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2 – Teacher cohort dashboard: a sortable, filterable table of all students with predicted final grade, pass-risk badge (high / medium / low), current week, and key LMS signals, supporting one-click filtering to the high-risk group.</w:t>
      </w:r>
    </w:p>
    <w:p>
      <w:pPr>
        <w:spacing w:line="240" w:lineRule="auto" w:after="40" w:before="120"/>
        <w:jc w:val="center"/>
      </w:pPr>
      <w:r>
        <w:drawing>
          <wp:inline xmlns:a="http://schemas.openxmlformats.org/drawingml/2006/main" xmlns:pic="http://schemas.openxmlformats.org/drawingml/2006/picture">
            <wp:extent cx="5760000" cy="6600000"/>
            <wp:docPr id="3" name="Picture 3"/>
            <wp:cNvGraphicFramePr>
              <a:graphicFrameLocks noChangeAspect="1"/>
            </wp:cNvGraphicFramePr>
            <a:graphic>
              <a:graphicData uri="http://schemas.openxmlformats.org/drawingml/2006/picture">
                <pic:pic>
                  <pic:nvPicPr>
                    <pic:cNvPr id="0" name="fig3_student_detail.png"/>
                    <pic:cNvPicPr/>
                  </pic:nvPicPr>
                  <pic:blipFill>
                    <a:blip r:embed="rId11"/>
                    <a:stretch>
                      <a:fillRect/>
                    </a:stretch>
                  </pic:blipFill>
                  <pic:spPr>
                    <a:xfrm>
                      <a:off x="0" y="0"/>
                      <a:ext cx="5760000" cy="6600000"/>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3 – Per-student view: summary cards (predicted vs. actual grade, risk, mastery, activity, attendance, assignment/quiz averages, 3-week trend), the weekly trajectory chart, and the raw weekly-snapshot table.</w:t>
      </w:r>
    </w:p>
    <w:p>
      <w:pPr>
        <w:spacing w:line="240" w:lineRule="auto" w:after="80" w:before="200"/>
        <w:jc w:val="left"/>
      </w:pPr>
      <w:r>
        <w:rPr>
          <w:rFonts w:ascii="Times New Roman" w:hAnsi="Times New Roman" w:cs="Times New Roman" w:eastAsia="Times New Roman"/>
          <w:b/>
          <w:i/>
          <w:sz w:val="24"/>
        </w:rPr>
        <w:t>Datasets</w:t>
      </w:r>
    </w:p>
    <w:p>
      <w:pPr>
        <w:spacing w:line="240" w:lineRule="auto" w:after="120" w:before="0"/>
        <w:ind w:firstLine="567"/>
        <w:jc w:val="both"/>
      </w:pPr>
      <w:r>
        <w:rPr>
          <w:rFonts w:ascii="Times New Roman" w:hAnsi="Times New Roman" w:cs="Times New Roman" w:eastAsia="Times New Roman"/>
          <w:b w:val="0"/>
          <w:i w:val="0"/>
          <w:sz w:val="24"/>
        </w:rPr>
        <w:t>We evaluate on real, public, non-circular data from two institutions:</w:t>
      </w:r>
    </w:p>
    <w:p>
      <w:pPr>
        <w:pStyle w:val="ListBullet"/>
        <w:spacing w:line="240" w:lineRule="auto" w:after="40"/>
        <w:jc w:val="both"/>
      </w:pPr>
      <w:r>
        <w:rPr>
          <w:rFonts w:ascii="Times New Roman" w:hAnsi="Times New Roman" w:cs="Times New Roman" w:eastAsia="Times New Roman"/>
          <w:b/>
          <w:i w:val="0"/>
          <w:sz w:val="24"/>
        </w:rPr>
        <w:t xml:space="preserve">OULAD DDD 2013J </w:t>
      </w:r>
      <w:r>
        <w:rPr>
          <w:rFonts w:ascii="Times New Roman" w:hAnsi="Times New Roman" w:cs="Times New Roman" w:eastAsia="Times New Roman"/>
          <w:b w:val="0"/>
          <w:i w:val="0"/>
          <w:sz w:val="24"/>
        </w:rPr>
        <w:t>[1]: 1,938 students, 67,830 weekly snapshots, weeks 4–38.</w:t>
      </w:r>
    </w:p>
    <w:p>
      <w:pPr>
        <w:pStyle w:val="ListBullet"/>
        <w:spacing w:line="240" w:lineRule="auto" w:after="40"/>
        <w:jc w:val="both"/>
      </w:pPr>
      <w:r>
        <w:rPr>
          <w:rFonts w:ascii="Times New Roman" w:hAnsi="Times New Roman" w:cs="Times New Roman" w:eastAsia="Times New Roman"/>
          <w:b/>
          <w:i w:val="0"/>
          <w:sz w:val="24"/>
        </w:rPr>
        <w:t xml:space="preserve">OULAD BBB 2013J </w:t>
      </w:r>
      <w:r>
        <w:rPr>
          <w:rFonts w:ascii="Times New Roman" w:hAnsi="Times New Roman" w:cs="Times New Roman" w:eastAsia="Times New Roman"/>
          <w:b w:val="0"/>
          <w:i w:val="0"/>
          <w:sz w:val="24"/>
        </w:rPr>
        <w:t>[1]: 2,237 students, 80,532 weekly snapshots; richer dated assessment structure than DDD.</w:t>
      </w:r>
    </w:p>
    <w:p>
      <w:pPr>
        <w:pStyle w:val="ListBullet"/>
        <w:spacing w:line="240" w:lineRule="auto" w:after="40"/>
        <w:jc w:val="both"/>
      </w:pPr>
      <w:r>
        <w:rPr>
          <w:rFonts w:ascii="Times New Roman" w:hAnsi="Times New Roman" w:cs="Times New Roman" w:eastAsia="Times New Roman"/>
          <w:b/>
          <w:i w:val="0"/>
          <w:sz w:val="24"/>
        </w:rPr>
        <w:t xml:space="preserve">KU Leuven 1819 </w:t>
      </w:r>
      <w:r>
        <w:rPr>
          <w:rFonts w:ascii="Times New Roman" w:hAnsi="Times New Roman" w:cs="Times New Roman" w:eastAsia="Times New Roman"/>
          <w:b w:val="0"/>
          <w:i w:val="0"/>
          <w:sz w:val="24"/>
        </w:rPr>
        <w:t>[3]: 1,495 students, two courses pooled, weeks 2–15.</w:t>
      </w:r>
    </w:p>
    <w:p>
      <w:pPr>
        <w:spacing w:line="240" w:lineRule="auto" w:after="120" w:before="0"/>
        <w:ind w:firstLine="567"/>
        <w:jc w:val="both"/>
      </w:pPr>
      <w:r>
        <w:rPr>
          <w:rFonts w:ascii="Times New Roman" w:hAnsi="Times New Roman" w:cs="Times New Roman" w:eastAsia="Times New Roman"/>
          <w:b w:val="0"/>
          <w:i w:val="0"/>
          <w:sz w:val="24"/>
        </w:rPr>
        <w:t>A separate synthetic dataset is used only for controlled methodological checks; its limitations are stated in the Results and Discussion section.</w:t>
      </w:r>
    </w:p>
    <w:p>
      <w:pPr>
        <w:spacing w:line="240" w:lineRule="auto" w:after="80" w:before="200"/>
        <w:jc w:val="left"/>
      </w:pPr>
      <w:r>
        <w:rPr>
          <w:rFonts w:ascii="Times New Roman" w:hAnsi="Times New Roman" w:cs="Times New Roman" w:eastAsia="Times New Roman"/>
          <w:b/>
          <w:i/>
          <w:sz w:val="24"/>
        </w:rPr>
        <w:t>Feature sets (nested ablation)</w:t>
      </w:r>
    </w:p>
    <w:p>
      <w:pPr>
        <w:spacing w:line="240" w:lineRule="auto" w:after="120" w:before="0"/>
        <w:ind w:firstLine="567"/>
        <w:jc w:val="both"/>
      </w:pPr>
      <w:r>
        <w:rPr>
          <w:rFonts w:ascii="Times New Roman" w:hAnsi="Times New Roman" w:cs="Times New Roman" w:eastAsia="Times New Roman"/>
          <w:b w:val="0"/>
          <w:i w:val="0"/>
          <w:sz w:val="24"/>
        </w:rPr>
        <w:t>The Digital-Twin representation is tested by decomposition, not assumed. Each set is a strict superset of the previous one (A_simple ⊂ B_lms ⊂ B_lms+mastery ⊂ C_twin):</w:t>
      </w:r>
    </w:p>
    <w:p>
      <w:pPr>
        <w:pStyle w:val="ListBullet"/>
        <w:spacing w:line="240" w:lineRule="auto" w:after="40"/>
        <w:jc w:val="both"/>
      </w:pPr>
      <w:r>
        <w:rPr>
          <w:rFonts w:ascii="Times New Roman" w:hAnsi="Times New Roman" w:cs="Times New Roman" w:eastAsia="Times New Roman"/>
          <w:b/>
          <w:i w:val="0"/>
          <w:sz w:val="24"/>
        </w:rPr>
        <w:t>A_simple</w:t>
      </w:r>
      <w:r>
        <w:rPr>
          <w:rFonts w:ascii="Times New Roman" w:hAnsi="Times New Roman" w:cs="Times New Roman" w:eastAsia="Times New Roman"/>
          <w:b w:val="0"/>
          <w:i w:val="0"/>
          <w:sz w:val="24"/>
        </w:rPr>
        <w:t xml:space="preserve"> — minimal baseline.</w:t>
      </w:r>
    </w:p>
    <w:p>
      <w:pPr>
        <w:pStyle w:val="ListBullet"/>
        <w:spacing w:line="240" w:lineRule="auto" w:after="40"/>
        <w:jc w:val="both"/>
      </w:pPr>
      <w:r>
        <w:rPr>
          <w:rFonts w:ascii="Times New Roman" w:hAnsi="Times New Roman" w:cs="Times New Roman" w:eastAsia="Times New Roman"/>
          <w:b/>
          <w:i w:val="0"/>
          <w:sz w:val="24"/>
        </w:rPr>
        <w:t>B_lms</w:t>
      </w:r>
      <w:r>
        <w:rPr>
          <w:rFonts w:ascii="Times New Roman" w:hAnsi="Times New Roman" w:cs="Times New Roman" w:eastAsia="Times New Roman"/>
          <w:b w:val="0"/>
          <w:i w:val="0"/>
          <w:sz w:val="24"/>
        </w:rPr>
        <w:t xml:space="preserve"> — LMS behavioural features (the proxy for “what the literature uses”).</w:t>
      </w:r>
    </w:p>
    <w:p>
      <w:pPr>
        <w:pStyle w:val="ListBullet"/>
        <w:spacing w:line="240" w:lineRule="auto" w:after="40"/>
        <w:jc w:val="both"/>
      </w:pPr>
      <w:r>
        <w:rPr>
          <w:rFonts w:ascii="Times New Roman" w:hAnsi="Times New Roman" w:cs="Times New Roman" w:eastAsia="Times New Roman"/>
          <w:b/>
          <w:i w:val="0"/>
          <w:sz w:val="24"/>
        </w:rPr>
        <w:t>B_lms + mastery</w:t>
      </w:r>
      <w:r>
        <w:rPr>
          <w:rFonts w:ascii="Times New Roman" w:hAnsi="Times New Roman" w:cs="Times New Roman" w:eastAsia="Times New Roman"/>
          <w:b w:val="0"/>
          <w:i w:val="0"/>
          <w:sz w:val="24"/>
        </w:rPr>
        <w:t xml:space="preserve"> — LMS plus a lean mastery-proxy block derived from the dated assessment structure.</w:t>
      </w:r>
    </w:p>
    <w:p>
      <w:pPr>
        <w:pStyle w:val="ListBullet"/>
        <w:spacing w:line="240" w:lineRule="auto" w:after="40"/>
        <w:jc w:val="both"/>
      </w:pPr>
      <w:r>
        <w:rPr>
          <w:rFonts w:ascii="Times New Roman" w:hAnsi="Times New Roman" w:cs="Times New Roman" w:eastAsia="Times New Roman"/>
          <w:b/>
          <w:i w:val="0"/>
          <w:sz w:val="24"/>
        </w:rPr>
        <w:t>C_twin</w:t>
      </w:r>
      <w:r>
        <w:rPr>
          <w:rFonts w:ascii="Times New Roman" w:hAnsi="Times New Roman" w:cs="Times New Roman" w:eastAsia="Times New Roman"/>
          <w:b w:val="0"/>
          <w:i w:val="0"/>
          <w:sz w:val="24"/>
        </w:rPr>
        <w:t xml:space="preserve"> — full engineered Twin representation (trends, mastery, indices, temporal context).</w:t>
      </w:r>
    </w:p>
    <w:p>
      <w:pPr>
        <w:spacing w:line="240" w:lineRule="auto" w:after="40" w:before="120"/>
        <w:jc w:val="center"/>
      </w:pPr>
      <w:r>
        <w:drawing>
          <wp:inline xmlns:a="http://schemas.openxmlformats.org/drawingml/2006/main" xmlns:pic="http://schemas.openxmlformats.org/drawingml/2006/picture">
            <wp:extent cx="5760000" cy="404081"/>
            <wp:docPr id="4" name="Picture 4"/>
            <wp:cNvGraphicFramePr>
              <a:graphicFrameLocks noChangeAspect="1"/>
            </wp:cNvGraphicFramePr>
            <a:graphic>
              <a:graphicData uri="http://schemas.openxmlformats.org/drawingml/2006/picture">
                <pic:pic>
                  <pic:nvPicPr>
                    <pic:cNvPr id="0" name="fig4_ablation.png"/>
                    <pic:cNvPicPr/>
                  </pic:nvPicPr>
                  <pic:blipFill>
                    <a:blip r:embed="rId12"/>
                    <a:stretch>
                      <a:fillRect/>
                    </a:stretch>
                  </pic:blipFill>
                  <pic:spPr>
                    <a:xfrm>
                      <a:off x="0" y="0"/>
                      <a:ext cx="5760000" cy="404081"/>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4 – Nested feature-set ablation. Each set is a strict superset of the previous one, so the Digital-Twin representation is tested by decomposition rather than assumed.</w:t>
      </w:r>
    </w:p>
    <w:p>
      <w:pPr>
        <w:spacing w:line="240" w:lineRule="auto" w:after="80" w:before="200"/>
        <w:jc w:val="left"/>
      </w:pPr>
      <w:r>
        <w:rPr>
          <w:rFonts w:ascii="Times New Roman" w:hAnsi="Times New Roman" w:cs="Times New Roman" w:eastAsia="Times New Roman"/>
          <w:b/>
          <w:i/>
          <w:sz w:val="24"/>
        </w:rPr>
        <w:t>Experimental part: models and protocol</w:t>
      </w:r>
    </w:p>
    <w:p>
      <w:pPr>
        <w:spacing w:line="240" w:lineRule="auto" w:after="120" w:before="0"/>
        <w:ind w:firstLine="567"/>
        <w:jc w:val="both"/>
      </w:pPr>
      <w:r>
        <w:rPr>
          <w:rFonts w:ascii="Times New Roman" w:hAnsi="Times New Roman" w:cs="Times New Roman" w:eastAsia="Times New Roman"/>
          <w:b w:val="0"/>
          <w:i w:val="0"/>
          <w:sz w:val="24"/>
        </w:rPr>
        <w:t>Model families are deliberately simple and defensible: Ridge regression, Logistic Regression, Random Forest, and Gradient Boosting. Two splits are used: a student-grouped split (primary; test_size = 0.25, seed = 42; for DDD: 1,454 train vs. 484 test students) and a temporal-forward split (train on early weeks, predict later weeks). The pipeline is leakage-aware: train-only preprocessing, explicit forbidden-column enforcement, and fixed-model reporting (Gradient Boosting held fixed across splits) to neutralise best-model-per-cell selection artifacts. Targets are final_weighted_score (regression, 0–100) and passed_observed (binary classification). All abbreviations follow first use: LMS — learning management system; XAI — explainable artificial intelligence; OULAD — Open University Learning Analytics Dataset; RMSE — root mean squared error; ROC-AUC — area under the receiver-operating-characteristic curve.</w:t>
      </w:r>
    </w:p>
    <w:p>
      <w:pPr>
        <w:spacing w:line="240" w:lineRule="auto" w:after="80" w:before="200"/>
        <w:jc w:val="left"/>
      </w:pPr>
      <w:r>
        <w:rPr>
          <w:rFonts w:ascii="Times New Roman" w:hAnsi="Times New Roman" w:cs="Times New Roman" w:eastAsia="Times New Roman"/>
          <w:b/>
          <w:i w:val="0"/>
          <w:sz w:val="24"/>
        </w:rPr>
        <w:t>Results and Discussion</w:t>
      </w:r>
    </w:p>
    <w:p>
      <w:pPr>
        <w:spacing w:line="240" w:lineRule="auto" w:after="80" w:before="200"/>
        <w:jc w:val="left"/>
      </w:pPr>
      <w:r>
        <w:rPr>
          <w:rFonts w:ascii="Times New Roman" w:hAnsi="Times New Roman" w:cs="Times New Roman" w:eastAsia="Times New Roman"/>
          <w:b/>
          <w:i/>
          <w:sz w:val="24"/>
        </w:rPr>
        <w:t>This work vs. standard baselines</w:t>
      </w:r>
    </w:p>
    <w:p>
      <w:pPr>
        <w:spacing w:line="240" w:lineRule="auto" w:after="120" w:before="0"/>
        <w:ind w:firstLine="567"/>
        <w:jc w:val="both"/>
      </w:pPr>
      <w:r>
        <w:rPr>
          <w:rFonts w:ascii="Times New Roman" w:hAnsi="Times New Roman" w:cs="Times New Roman" w:eastAsia="Times New Roman"/>
          <w:b w:val="0"/>
          <w:i w:val="0"/>
          <w:sz w:val="24"/>
        </w:rPr>
        <w:t>All rows in Table 1 use OULAD DDD 2013J, the B_lms feature set, and the student-grouped split, except the last “ours” row which adds the mastery block. RMSE is on the 0–100 score scale; F1/ROC-AUC are for passed_observed.</w:t>
      </w:r>
    </w:p>
    <w:p>
      <w:pPr>
        <w:spacing w:line="240" w:lineRule="auto" w:after="40" w:before="120"/>
        <w:jc w:val="left"/>
      </w:pPr>
      <w:r>
        <w:rPr>
          <w:rFonts w:ascii="Times New Roman" w:hAnsi="Times New Roman" w:cs="Times New Roman" w:eastAsia="Times New Roman"/>
          <w:b w:val="0"/>
          <w:i w:val="0"/>
          <w:sz w:val="22"/>
        </w:rPr>
        <w:t>Table 1 – This work versus standard baselines on OULAD DDD 2013J</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before="20" w:after="20"/>
              <w:jc w:val="center"/>
            </w:pPr>
            <w:r/>
            <w:r>
              <w:rPr>
                <w:rFonts w:ascii="Times New Roman" w:hAnsi="Times New Roman" w:eastAsia="Times New Roman"/>
                <w:b/>
                <w:sz w:val="22"/>
              </w:rPr>
              <w:t>Approach</w:t>
            </w:r>
          </w:p>
        </w:tc>
        <w:tc>
          <w:tcPr>
            <w:tcW w:type="dxa" w:w="1377"/>
          </w:tcPr>
          <w:p>
            <w:pPr>
              <w:spacing w:before="20" w:after="20"/>
              <w:jc w:val="center"/>
            </w:pPr>
            <w:r/>
            <w:r>
              <w:rPr>
                <w:rFonts w:ascii="Times New Roman" w:hAnsi="Times New Roman" w:eastAsia="Times New Roman"/>
                <w:b/>
                <w:sz w:val="22"/>
              </w:rPr>
              <w:t>RMSE</w:t>
            </w:r>
          </w:p>
        </w:tc>
        <w:tc>
          <w:tcPr>
            <w:tcW w:type="dxa" w:w="1377"/>
          </w:tcPr>
          <w:p>
            <w:pPr>
              <w:spacing w:before="20" w:after="20"/>
              <w:jc w:val="center"/>
            </w:pPr>
            <w:r/>
            <w:r>
              <w:rPr>
                <w:rFonts w:ascii="Times New Roman" w:hAnsi="Times New Roman" w:eastAsia="Times New Roman"/>
                <w:b/>
                <w:sz w:val="22"/>
              </w:rPr>
              <w:t>F1</w:t>
            </w:r>
          </w:p>
        </w:tc>
        <w:tc>
          <w:tcPr>
            <w:tcW w:type="dxa" w:w="1377"/>
          </w:tcPr>
          <w:p>
            <w:pPr>
              <w:spacing w:before="20" w:after="20"/>
              <w:jc w:val="center"/>
            </w:pPr>
            <w:r/>
            <w:r>
              <w:rPr>
                <w:rFonts w:ascii="Times New Roman" w:hAnsi="Times New Roman" w:eastAsia="Times New Roman"/>
                <w:b/>
                <w:sz w:val="22"/>
              </w:rPr>
              <w:t>ROC-AUC</w:t>
            </w:r>
          </w:p>
        </w:tc>
        <w:tc>
          <w:tcPr>
            <w:tcW w:type="dxa" w:w="1377"/>
          </w:tcPr>
          <w:p>
            <w:pPr>
              <w:spacing w:before="20" w:after="20"/>
              <w:jc w:val="center"/>
            </w:pPr>
            <w:r/>
            <w:r>
              <w:rPr>
                <w:rFonts w:ascii="Times New Roman" w:hAnsi="Times New Roman" w:eastAsia="Times New Roman"/>
                <w:b/>
                <w:sz w:val="22"/>
              </w:rPr>
              <w:t>Per-student XAI</w:t>
            </w:r>
          </w:p>
        </w:tc>
        <w:tc>
          <w:tcPr>
            <w:tcW w:type="dxa" w:w="1377"/>
          </w:tcPr>
          <w:p>
            <w:pPr>
              <w:spacing w:before="20" w:after="20"/>
              <w:jc w:val="center"/>
            </w:pPr>
            <w:r/>
            <w:r>
              <w:rPr>
                <w:rFonts w:ascii="Times New Roman" w:hAnsi="Times New Roman" w:eastAsia="Times New Roman"/>
                <w:b/>
                <w:sz w:val="22"/>
              </w:rPr>
              <w:t>Teacher UI</w:t>
            </w:r>
          </w:p>
        </w:tc>
        <w:tc>
          <w:tcPr>
            <w:tcW w:type="dxa" w:w="1377"/>
          </w:tcPr>
          <w:p>
            <w:pPr>
              <w:spacing w:before="20" w:after="20"/>
              <w:jc w:val="center"/>
            </w:pPr>
            <w:r/>
            <w:r>
              <w:rPr>
                <w:rFonts w:ascii="Times New Roman" w:hAnsi="Times New Roman" w:eastAsia="Times New Roman"/>
                <w:b/>
                <w:sz w:val="22"/>
              </w:rPr>
              <w:t>Open</w:t>
            </w:r>
          </w:p>
        </w:tc>
      </w:tr>
      <w:tr>
        <w:tc>
          <w:tcPr>
            <w:tcW w:type="dxa" w:w="1377"/>
          </w:tcPr>
          <w:p>
            <w:pPr>
              <w:spacing w:before="20" w:after="20"/>
              <w:jc w:val="left"/>
            </w:pPr>
            <w:r/>
            <w:r>
              <w:rPr>
                <w:rFonts w:ascii="Times New Roman" w:hAnsi="Times New Roman" w:eastAsia="Times New Roman"/>
                <w:b w:val="0"/>
                <w:sz w:val="22"/>
              </w:rPr>
              <w:t>Logistic Regression (ours)</w:t>
            </w:r>
          </w:p>
        </w:tc>
        <w:tc>
          <w:tcPr>
            <w:tcW w:type="dxa" w:w="1377"/>
          </w:tcPr>
          <w:p>
            <w:pPr>
              <w:spacing w:before="20" w:after="20"/>
              <w:jc w:val="center"/>
            </w:pPr>
            <w:r/>
            <w:r>
              <w:rPr>
                <w:rFonts w:ascii="Times New Roman" w:hAnsi="Times New Roman" w:eastAsia="Times New Roman"/>
                <w:b w:val="0"/>
                <w:sz w:val="22"/>
              </w:rPr>
              <w:t>—</w:t>
            </w:r>
          </w:p>
        </w:tc>
        <w:tc>
          <w:tcPr>
            <w:tcW w:type="dxa" w:w="1377"/>
          </w:tcPr>
          <w:p>
            <w:pPr>
              <w:spacing w:before="20" w:after="20"/>
              <w:jc w:val="center"/>
            </w:pPr>
            <w:r/>
            <w:r>
              <w:rPr>
                <w:rFonts w:ascii="Times New Roman" w:hAnsi="Times New Roman" w:eastAsia="Times New Roman"/>
                <w:b w:val="0"/>
                <w:sz w:val="22"/>
              </w:rPr>
              <w:t>0.854</w:t>
            </w:r>
          </w:p>
        </w:tc>
        <w:tc>
          <w:tcPr>
            <w:tcW w:type="dxa" w:w="1377"/>
          </w:tcPr>
          <w:p>
            <w:pPr>
              <w:spacing w:before="20" w:after="20"/>
              <w:jc w:val="center"/>
            </w:pPr>
            <w:r/>
            <w:r>
              <w:rPr>
                <w:rFonts w:ascii="Times New Roman" w:hAnsi="Times New Roman" w:eastAsia="Times New Roman"/>
                <w:b w:val="0"/>
                <w:sz w:val="22"/>
              </w:rPr>
              <w:t>0.951</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Yes</w:t>
            </w:r>
          </w:p>
        </w:tc>
      </w:tr>
      <w:tr>
        <w:tc>
          <w:tcPr>
            <w:tcW w:type="dxa" w:w="1377"/>
          </w:tcPr>
          <w:p>
            <w:pPr>
              <w:spacing w:before="20" w:after="20"/>
              <w:jc w:val="left"/>
            </w:pPr>
            <w:r/>
            <w:r>
              <w:rPr>
                <w:rFonts w:ascii="Times New Roman" w:hAnsi="Times New Roman" w:eastAsia="Times New Roman"/>
                <w:b w:val="0"/>
                <w:sz w:val="22"/>
              </w:rPr>
              <w:t>Random Forest (ours)</w:t>
            </w:r>
          </w:p>
        </w:tc>
        <w:tc>
          <w:tcPr>
            <w:tcW w:type="dxa" w:w="1377"/>
          </w:tcPr>
          <w:p>
            <w:pPr>
              <w:spacing w:before="20" w:after="20"/>
              <w:jc w:val="center"/>
            </w:pPr>
            <w:r/>
            <w:r>
              <w:rPr>
                <w:rFonts w:ascii="Times New Roman" w:hAnsi="Times New Roman" w:eastAsia="Times New Roman"/>
                <w:b w:val="0"/>
                <w:sz w:val="22"/>
              </w:rPr>
              <w:t>13.633</w:t>
            </w:r>
          </w:p>
        </w:tc>
        <w:tc>
          <w:tcPr>
            <w:tcW w:type="dxa" w:w="1377"/>
          </w:tcPr>
          <w:p>
            <w:pPr>
              <w:spacing w:before="20" w:after="20"/>
              <w:jc w:val="center"/>
            </w:pPr>
            <w:r/>
            <w:r>
              <w:rPr>
                <w:rFonts w:ascii="Times New Roman" w:hAnsi="Times New Roman" w:eastAsia="Times New Roman"/>
                <w:b w:val="0"/>
                <w:sz w:val="22"/>
              </w:rPr>
              <w:t>0.861</w:t>
            </w:r>
          </w:p>
        </w:tc>
        <w:tc>
          <w:tcPr>
            <w:tcW w:type="dxa" w:w="1377"/>
          </w:tcPr>
          <w:p>
            <w:pPr>
              <w:spacing w:before="20" w:after="20"/>
              <w:jc w:val="center"/>
            </w:pPr>
            <w:r/>
            <w:r>
              <w:rPr>
                <w:rFonts w:ascii="Times New Roman" w:hAnsi="Times New Roman" w:eastAsia="Times New Roman"/>
                <w:b w:val="0"/>
                <w:sz w:val="22"/>
              </w:rPr>
              <w:t>0.947</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Yes</w:t>
            </w:r>
          </w:p>
        </w:tc>
      </w:tr>
      <w:tr>
        <w:tc>
          <w:tcPr>
            <w:tcW w:type="dxa" w:w="1377"/>
          </w:tcPr>
          <w:p>
            <w:pPr>
              <w:spacing w:before="20" w:after="20"/>
              <w:jc w:val="left"/>
            </w:pPr>
            <w:r/>
            <w:r>
              <w:rPr>
                <w:rFonts w:ascii="Times New Roman" w:hAnsi="Times New Roman" w:eastAsia="Times New Roman"/>
                <w:b w:val="0"/>
                <w:sz w:val="22"/>
              </w:rPr>
              <w:t>GB LMS-only (ours)</w:t>
            </w:r>
          </w:p>
        </w:tc>
        <w:tc>
          <w:tcPr>
            <w:tcW w:type="dxa" w:w="1377"/>
          </w:tcPr>
          <w:p>
            <w:pPr>
              <w:spacing w:before="20" w:after="20"/>
              <w:jc w:val="center"/>
            </w:pPr>
            <w:r/>
            <w:r>
              <w:rPr>
                <w:rFonts w:ascii="Times New Roman" w:hAnsi="Times New Roman" w:eastAsia="Times New Roman"/>
                <w:b w:val="0"/>
                <w:sz w:val="22"/>
              </w:rPr>
              <w:t>12.658</w:t>
            </w:r>
          </w:p>
        </w:tc>
        <w:tc>
          <w:tcPr>
            <w:tcW w:type="dxa" w:w="1377"/>
          </w:tcPr>
          <w:p>
            <w:pPr>
              <w:spacing w:before="20" w:after="20"/>
              <w:jc w:val="center"/>
            </w:pPr>
            <w:r/>
            <w:r>
              <w:rPr>
                <w:rFonts w:ascii="Times New Roman" w:hAnsi="Times New Roman" w:eastAsia="Times New Roman"/>
                <w:b w:val="0"/>
                <w:sz w:val="22"/>
              </w:rPr>
              <w:t>0.863</w:t>
            </w:r>
          </w:p>
        </w:tc>
        <w:tc>
          <w:tcPr>
            <w:tcW w:type="dxa" w:w="1377"/>
          </w:tcPr>
          <w:p>
            <w:pPr>
              <w:spacing w:before="20" w:after="20"/>
              <w:jc w:val="center"/>
            </w:pPr>
            <w:r/>
            <w:r>
              <w:rPr>
                <w:rFonts w:ascii="Times New Roman" w:hAnsi="Times New Roman" w:eastAsia="Times New Roman"/>
                <w:b w:val="0"/>
                <w:sz w:val="22"/>
              </w:rPr>
              <w:t>0.953</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Yes</w:t>
            </w:r>
          </w:p>
        </w:tc>
      </w:tr>
      <w:tr>
        <w:tc>
          <w:tcPr>
            <w:tcW w:type="dxa" w:w="1377"/>
          </w:tcPr>
          <w:p>
            <w:pPr>
              <w:spacing w:before="20" w:after="20"/>
              <w:jc w:val="left"/>
            </w:pPr>
            <w:r/>
            <w:r>
              <w:rPr>
                <w:rFonts w:ascii="Times New Roman" w:hAnsi="Times New Roman" w:eastAsia="Times New Roman"/>
                <w:b/>
                <w:sz w:val="22"/>
              </w:rPr>
              <w:t>GB + Twin + XAI (this work)</w:t>
            </w:r>
          </w:p>
        </w:tc>
        <w:tc>
          <w:tcPr>
            <w:tcW w:type="dxa" w:w="1377"/>
          </w:tcPr>
          <w:p>
            <w:pPr>
              <w:spacing w:before="20" w:after="20"/>
              <w:jc w:val="center"/>
            </w:pPr>
            <w:r/>
            <w:r>
              <w:rPr>
                <w:rFonts w:ascii="Times New Roman" w:hAnsi="Times New Roman" w:eastAsia="Times New Roman"/>
                <w:b/>
                <w:sz w:val="22"/>
              </w:rPr>
              <w:t>12.724</w:t>
            </w:r>
          </w:p>
        </w:tc>
        <w:tc>
          <w:tcPr>
            <w:tcW w:type="dxa" w:w="1377"/>
          </w:tcPr>
          <w:p>
            <w:pPr>
              <w:spacing w:before="20" w:after="20"/>
              <w:jc w:val="center"/>
            </w:pPr>
            <w:r/>
            <w:r>
              <w:rPr>
                <w:rFonts w:ascii="Times New Roman" w:hAnsi="Times New Roman" w:eastAsia="Times New Roman"/>
                <w:b/>
                <w:sz w:val="22"/>
              </w:rPr>
              <w:t>0.861</w:t>
            </w:r>
          </w:p>
        </w:tc>
        <w:tc>
          <w:tcPr>
            <w:tcW w:type="dxa" w:w="1377"/>
          </w:tcPr>
          <w:p>
            <w:pPr>
              <w:spacing w:before="20" w:after="20"/>
              <w:jc w:val="center"/>
            </w:pPr>
            <w:r/>
            <w:r>
              <w:rPr>
                <w:rFonts w:ascii="Times New Roman" w:hAnsi="Times New Roman" w:eastAsia="Times New Roman"/>
                <w:b/>
                <w:sz w:val="22"/>
              </w:rPr>
              <w:t>0.953</w:t>
            </w:r>
          </w:p>
        </w:tc>
        <w:tc>
          <w:tcPr>
            <w:tcW w:type="dxa" w:w="1377"/>
          </w:tcPr>
          <w:p>
            <w:pPr>
              <w:spacing w:before="20" w:after="20"/>
              <w:jc w:val="center"/>
            </w:pPr>
            <w:r/>
            <w:r>
              <w:rPr>
                <w:rFonts w:ascii="Times New Roman" w:hAnsi="Times New Roman" w:eastAsia="Times New Roman"/>
                <w:b/>
                <w:sz w:val="22"/>
              </w:rPr>
              <w:t>Yes</w:t>
            </w:r>
          </w:p>
        </w:tc>
        <w:tc>
          <w:tcPr>
            <w:tcW w:type="dxa" w:w="1377"/>
          </w:tcPr>
          <w:p>
            <w:pPr>
              <w:spacing w:before="20" w:after="20"/>
              <w:jc w:val="center"/>
            </w:pPr>
            <w:r/>
            <w:r>
              <w:rPr>
                <w:rFonts w:ascii="Times New Roman" w:hAnsi="Times New Roman" w:eastAsia="Times New Roman"/>
                <w:b/>
                <w:sz w:val="22"/>
              </w:rPr>
              <w:t>Yes</w:t>
            </w:r>
          </w:p>
        </w:tc>
        <w:tc>
          <w:tcPr>
            <w:tcW w:type="dxa" w:w="1377"/>
          </w:tcPr>
          <w:p>
            <w:pPr>
              <w:spacing w:before="20" w:after="20"/>
              <w:jc w:val="center"/>
            </w:pPr>
            <w:r/>
            <w:r>
              <w:rPr>
                <w:rFonts w:ascii="Times New Roman" w:hAnsi="Times New Roman" w:eastAsia="Times New Roman"/>
                <w:b/>
                <w:sz w:val="22"/>
              </w:rPr>
              <w:t>Yes</w:t>
            </w:r>
          </w:p>
        </w:tc>
      </w:tr>
      <w:tr>
        <w:tc>
          <w:tcPr>
            <w:tcW w:type="dxa" w:w="1377"/>
          </w:tcPr>
          <w:p>
            <w:pPr>
              <w:spacing w:before="20" w:after="20"/>
              <w:jc w:val="left"/>
            </w:pPr>
            <w:r/>
            <w:r>
              <w:rPr>
                <w:rFonts w:ascii="Times New Roman" w:hAnsi="Times New Roman" w:eastAsia="Times New Roman"/>
                <w:b w:val="0"/>
                <w:sz w:val="22"/>
              </w:rPr>
              <w:t>GB + SHAP (literature) [4]</w:t>
            </w:r>
          </w:p>
        </w:tc>
        <w:tc>
          <w:tcPr>
            <w:tcW w:type="dxa" w:w="1377"/>
          </w:tcPr>
          <w:p>
            <w:pPr>
              <w:spacing w:before="20" w:after="20"/>
              <w:jc w:val="center"/>
            </w:pPr>
            <w:r/>
            <w:r>
              <w:rPr>
                <w:rFonts w:ascii="Times New Roman" w:hAnsi="Times New Roman" w:eastAsia="Times New Roman"/>
                <w:b w:val="0"/>
                <w:sz w:val="22"/>
              </w:rPr>
              <w:t>—</w:t>
            </w:r>
          </w:p>
        </w:tc>
        <w:tc>
          <w:tcPr>
            <w:tcW w:type="dxa" w:w="1377"/>
          </w:tcPr>
          <w:p>
            <w:pPr>
              <w:spacing w:before="20" w:after="20"/>
              <w:jc w:val="center"/>
            </w:pPr>
            <w:r/>
            <w:r>
              <w:rPr>
                <w:rFonts w:ascii="Times New Roman" w:hAnsi="Times New Roman" w:eastAsia="Times New Roman"/>
                <w:b w:val="0"/>
                <w:sz w:val="22"/>
              </w:rPr>
              <w:t>0.911</w:t>
            </w:r>
          </w:p>
        </w:tc>
        <w:tc>
          <w:tcPr>
            <w:tcW w:type="dxa" w:w="1377"/>
          </w:tcPr>
          <w:p>
            <w:pPr>
              <w:spacing w:before="20" w:after="20"/>
              <w:jc w:val="center"/>
            </w:pPr>
            <w:r/>
            <w:r>
              <w:rPr>
                <w:rFonts w:ascii="Times New Roman" w:hAnsi="Times New Roman" w:eastAsia="Times New Roman"/>
                <w:b w:val="0"/>
                <w:sz w:val="22"/>
              </w:rPr>
              <w:t>0.993</w:t>
            </w:r>
          </w:p>
        </w:tc>
        <w:tc>
          <w:tcPr>
            <w:tcW w:type="dxa" w:w="1377"/>
          </w:tcPr>
          <w:p>
            <w:pPr>
              <w:spacing w:before="20" w:after="20"/>
              <w:jc w:val="center"/>
            </w:pPr>
            <w:r/>
            <w:r>
              <w:rPr>
                <w:rFonts w:ascii="Times New Roman" w:hAnsi="Times New Roman" w:eastAsia="Times New Roman"/>
                <w:b w:val="0"/>
                <w:sz w:val="22"/>
              </w:rPr>
              <w:t>Yes</w:t>
            </w:r>
          </w:p>
        </w:tc>
        <w:tc>
          <w:tcPr>
            <w:tcW w:type="dxa" w:w="1377"/>
          </w:tcPr>
          <w:p>
            <w:pPr>
              <w:spacing w:before="20" w:after="20"/>
              <w:jc w:val="center"/>
            </w:pPr>
            <w:r/>
            <w:r>
              <w:rPr>
                <w:rFonts w:ascii="Times New Roman" w:hAnsi="Times New Roman" w:eastAsia="Times New Roman"/>
                <w:b w:val="0"/>
                <w:sz w:val="22"/>
              </w:rPr>
              <w:t>No</w:t>
            </w:r>
          </w:p>
        </w:tc>
        <w:tc>
          <w:tcPr>
            <w:tcW w:type="dxa" w:w="1377"/>
          </w:tcPr>
          <w:p>
            <w:pPr>
              <w:spacing w:before="20" w:after="20"/>
              <w:jc w:val="center"/>
            </w:pPr>
            <w:r/>
            <w:r>
              <w:rPr>
                <w:rFonts w:ascii="Times New Roman" w:hAnsi="Times New Roman" w:eastAsia="Times New Roman"/>
                <w:b w:val="0"/>
                <w:sz w:val="22"/>
              </w:rPr>
              <w:t>Partial</w:t>
            </w:r>
          </w:p>
        </w:tc>
      </w:tr>
      <w:tr>
        <w:tc>
          <w:tcPr>
            <w:tcW w:type="dxa" w:w="1377"/>
          </w:tcPr>
          <w:p>
            <w:pPr>
              <w:spacing w:before="20" w:after="20"/>
              <w:jc w:val="left"/>
            </w:pPr>
            <w:r/>
            <w:r>
              <w:rPr>
                <w:rFonts w:ascii="Times New Roman" w:hAnsi="Times New Roman" w:eastAsia="Times New Roman"/>
                <w:b w:val="0"/>
                <w:sz w:val="22"/>
              </w:rPr>
              <w:t>Commercial (EAB Navigate)</w:t>
            </w:r>
          </w:p>
        </w:tc>
        <w:tc>
          <w:tcPr>
            <w:tcW w:type="dxa" w:w="1377"/>
          </w:tcPr>
          <w:p>
            <w:pPr>
              <w:spacing w:before="20" w:after="20"/>
              <w:jc w:val="center"/>
            </w:pPr>
            <w:r/>
            <w:r>
              <w:rPr>
                <w:rFonts w:ascii="Times New Roman" w:hAnsi="Times New Roman" w:eastAsia="Times New Roman"/>
                <w:b w:val="0"/>
                <w:sz w:val="22"/>
              </w:rPr>
              <w:t>unknown</w:t>
            </w:r>
          </w:p>
        </w:tc>
        <w:tc>
          <w:tcPr>
            <w:tcW w:type="dxa" w:w="1377"/>
          </w:tcPr>
          <w:p>
            <w:pPr>
              <w:spacing w:before="20" w:after="20"/>
              <w:jc w:val="center"/>
            </w:pPr>
            <w:r/>
            <w:r>
              <w:rPr>
                <w:rFonts w:ascii="Times New Roman" w:hAnsi="Times New Roman" w:eastAsia="Times New Roman"/>
                <w:b w:val="0"/>
                <w:sz w:val="22"/>
              </w:rPr>
              <w:t>unknown</w:t>
            </w:r>
          </w:p>
        </w:tc>
        <w:tc>
          <w:tcPr>
            <w:tcW w:type="dxa" w:w="1377"/>
          </w:tcPr>
          <w:p>
            <w:pPr>
              <w:spacing w:before="20" w:after="20"/>
              <w:jc w:val="center"/>
            </w:pPr>
            <w:r/>
            <w:r>
              <w:rPr>
                <w:rFonts w:ascii="Times New Roman" w:hAnsi="Times New Roman" w:eastAsia="Times New Roman"/>
                <w:b w:val="0"/>
                <w:sz w:val="22"/>
              </w:rPr>
              <w:t>unknown</w:t>
            </w:r>
          </w:p>
        </w:tc>
        <w:tc>
          <w:tcPr>
            <w:tcW w:type="dxa" w:w="1377"/>
          </w:tcPr>
          <w:p>
            <w:pPr>
              <w:spacing w:before="20" w:after="20"/>
              <w:jc w:val="center"/>
            </w:pPr>
            <w:r/>
            <w:r>
              <w:rPr>
                <w:rFonts w:ascii="Times New Roman" w:hAnsi="Times New Roman" w:eastAsia="Times New Roman"/>
                <w:b w:val="0"/>
                <w:sz w:val="22"/>
              </w:rPr>
              <w:t>Partial</w:t>
            </w:r>
          </w:p>
        </w:tc>
        <w:tc>
          <w:tcPr>
            <w:tcW w:type="dxa" w:w="1377"/>
          </w:tcPr>
          <w:p>
            <w:pPr>
              <w:spacing w:before="20" w:after="20"/>
              <w:jc w:val="center"/>
            </w:pPr>
            <w:r/>
            <w:r>
              <w:rPr>
                <w:rFonts w:ascii="Times New Roman" w:hAnsi="Times New Roman" w:eastAsia="Times New Roman"/>
                <w:b w:val="0"/>
                <w:sz w:val="22"/>
              </w:rPr>
              <w:t>Yes</w:t>
            </w:r>
          </w:p>
        </w:tc>
        <w:tc>
          <w:tcPr>
            <w:tcW w:type="dxa" w:w="1377"/>
          </w:tcPr>
          <w:p>
            <w:pPr>
              <w:spacing w:before="20" w:after="20"/>
              <w:jc w:val="center"/>
            </w:pPr>
            <w:r/>
            <w:r>
              <w:rPr>
                <w:rFonts w:ascii="Times New Roman" w:hAnsi="Times New Roman" w:eastAsia="Times New Roman"/>
                <w:b w:val="0"/>
                <w:sz w:val="22"/>
              </w:rPr>
              <w:t>No</w:t>
            </w:r>
          </w:p>
        </w:tc>
      </w:tr>
    </w:tbl>
    <w:p>
      <w:pPr>
        <w:spacing w:line="240" w:lineRule="auto" w:after="80" w:before="0"/>
        <w:jc w:val="left"/>
      </w:pPr>
      <w:r/>
    </w:p>
    <w:p>
      <w:pPr>
        <w:spacing w:line="240" w:lineRule="auto" w:after="120" w:before="0"/>
        <w:ind w:firstLine="567"/>
        <w:jc w:val="both"/>
      </w:pPr>
      <w:r>
        <w:rPr>
          <w:rFonts w:ascii="Times New Roman" w:hAnsi="Times New Roman" w:cs="Times New Roman" w:eastAsia="Times New Roman"/>
          <w:b w:val="0"/>
          <w:i w:val="0"/>
          <w:sz w:val="24"/>
        </w:rPr>
        <w:t>Gradient Boosting on B_lms is the strongest baseline (RMSE 12.658, F1 0.863, ROC-AUC 0.953); Ridge regression is the weakest (RMSE 14.318). Logistic Regression is already competitive (F1 0.854, ROC-AUC 0.951), reflecting that the dominant predictor — assessment submission rate — is approximately linear in the log-odds of passing. Adding the mastery (Twin) block changes RMSE by +0.066 (worse) and F1 by −0.002: no improvement on this cohort and split. This is the honest negative result, stated rather than hidden.</w:t>
      </w:r>
    </w:p>
    <w:p>
      <w:pPr>
        <w:spacing w:line="240" w:lineRule="auto" w:after="80" w:before="200"/>
        <w:jc w:val="left"/>
      </w:pPr>
      <w:r>
        <w:rPr>
          <w:rFonts w:ascii="Times New Roman" w:hAnsi="Times New Roman" w:cs="Times New Roman" w:eastAsia="Times New Roman"/>
          <w:b/>
          <w:i/>
          <w:sz w:val="24"/>
        </w:rPr>
        <w:t>When does the Twin help, and when not?</w:t>
      </w:r>
    </w:p>
    <w:p>
      <w:pPr>
        <w:spacing w:line="240" w:lineRule="auto" w:after="120" w:before="0"/>
        <w:ind w:firstLine="567"/>
        <w:jc w:val="both"/>
      </w:pPr>
      <w:r>
        <w:rPr>
          <w:rFonts w:ascii="Times New Roman" w:hAnsi="Times New Roman" w:cs="Times New Roman" w:eastAsia="Times New Roman"/>
          <w:b w:val="0"/>
          <w:i w:val="0"/>
          <w:sz w:val="24"/>
        </w:rPr>
        <w:t>The full nested ablation under fixed-model reporting gives a course- and split-dependent answer (Table 2).</w:t>
      </w:r>
    </w:p>
    <w:p>
      <w:pPr>
        <w:spacing w:line="240" w:lineRule="auto" w:after="40" w:before="120"/>
        <w:jc w:val="left"/>
      </w:pPr>
      <w:r>
        <w:rPr>
          <w:rFonts w:ascii="Times New Roman" w:hAnsi="Times New Roman" w:cs="Times New Roman" w:eastAsia="Times New Roman"/>
          <w:b w:val="0"/>
          <w:i w:val="0"/>
          <w:sz w:val="22"/>
        </w:rPr>
        <w:t>Table 2 – Twin benefit by cohort and split (RMSE deltas vs. B_lms; negative = improvement)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before="20" w:after="20"/>
              <w:jc w:val="center"/>
            </w:pPr>
            <w:r/>
            <w:r>
              <w:rPr>
                <w:rFonts w:ascii="Times New Roman" w:hAnsi="Times New Roman" w:eastAsia="Times New Roman"/>
                <w:b/>
                <w:sz w:val="22"/>
              </w:rPr>
              <w:t>Cohort</w:t>
            </w:r>
          </w:p>
        </w:tc>
        <w:tc>
          <w:tcPr>
            <w:tcW w:type="dxa" w:w="3213"/>
          </w:tcPr>
          <w:p>
            <w:pPr>
              <w:spacing w:before="20" w:after="20"/>
              <w:jc w:val="center"/>
            </w:pPr>
            <w:r/>
            <w:r>
              <w:rPr>
                <w:rFonts w:ascii="Times New Roman" w:hAnsi="Times New Roman" w:eastAsia="Times New Roman"/>
                <w:b/>
                <w:sz w:val="22"/>
              </w:rPr>
              <w:t>Student-grouped</w:t>
            </w:r>
          </w:p>
        </w:tc>
        <w:tc>
          <w:tcPr>
            <w:tcW w:type="dxa" w:w="3213"/>
          </w:tcPr>
          <w:p>
            <w:pPr>
              <w:spacing w:before="20" w:after="20"/>
              <w:jc w:val="center"/>
            </w:pPr>
            <w:r/>
            <w:r>
              <w:rPr>
                <w:rFonts w:ascii="Times New Roman" w:hAnsi="Times New Roman" w:eastAsia="Times New Roman"/>
                <w:b/>
                <w:sz w:val="22"/>
              </w:rPr>
              <w:t>Temporal-forward</w:t>
            </w:r>
          </w:p>
        </w:tc>
      </w:tr>
      <w:tr>
        <w:tc>
          <w:tcPr>
            <w:tcW w:type="dxa" w:w="3213"/>
          </w:tcPr>
          <w:p>
            <w:pPr>
              <w:spacing w:before="20" w:after="20"/>
              <w:jc w:val="left"/>
            </w:pPr>
            <w:r/>
            <w:r>
              <w:rPr>
                <w:rFonts w:ascii="Times New Roman" w:hAnsi="Times New Roman" w:eastAsia="Times New Roman"/>
                <w:b w:val="0"/>
                <w:sz w:val="22"/>
              </w:rPr>
              <w:t>DDD 2013J</w:t>
            </w:r>
          </w:p>
        </w:tc>
        <w:tc>
          <w:tcPr>
            <w:tcW w:type="dxa" w:w="3213"/>
          </w:tcPr>
          <w:p>
            <w:pPr>
              <w:spacing w:before="20" w:after="20"/>
              <w:jc w:val="center"/>
            </w:pPr>
            <w:r/>
            <w:r>
              <w:rPr>
                <w:rFonts w:ascii="Times New Roman" w:hAnsi="Times New Roman" w:eastAsia="Times New Roman"/>
                <w:b w:val="0"/>
                <w:sz w:val="22"/>
              </w:rPr>
              <w:t>null (mastery +0.061)</w:t>
            </w:r>
          </w:p>
        </w:tc>
        <w:tc>
          <w:tcPr>
            <w:tcW w:type="dxa" w:w="3213"/>
          </w:tcPr>
          <w:p>
            <w:pPr>
              <w:spacing w:before="20" w:after="20"/>
              <w:jc w:val="center"/>
            </w:pPr>
            <w:r/>
            <w:r>
              <w:rPr>
                <w:rFonts w:ascii="Times New Roman" w:hAnsi="Times New Roman" w:eastAsia="Times New Roman"/>
                <w:b w:val="0"/>
                <w:sz w:val="22"/>
              </w:rPr>
              <w:t>weak: mastery −0.381</w:t>
            </w:r>
          </w:p>
        </w:tc>
      </w:tr>
      <w:tr>
        <w:tc>
          <w:tcPr>
            <w:tcW w:type="dxa" w:w="3213"/>
          </w:tcPr>
          <w:p>
            <w:pPr>
              <w:spacing w:before="20" w:after="20"/>
              <w:jc w:val="left"/>
            </w:pPr>
            <w:r/>
            <w:r>
              <w:rPr>
                <w:rFonts w:ascii="Times New Roman" w:hAnsi="Times New Roman" w:eastAsia="Times New Roman"/>
                <w:b w:val="0"/>
                <w:sz w:val="22"/>
              </w:rPr>
              <w:t>BBB 2013J</w:t>
            </w:r>
          </w:p>
        </w:tc>
        <w:tc>
          <w:tcPr>
            <w:tcW w:type="dxa" w:w="3213"/>
          </w:tcPr>
          <w:p>
            <w:pPr>
              <w:spacing w:before="20" w:after="20"/>
              <w:jc w:val="center"/>
            </w:pPr>
            <w:r/>
            <w:r>
              <w:rPr>
                <w:rFonts w:ascii="Times New Roman" w:hAnsi="Times New Roman" w:eastAsia="Times New Roman"/>
                <w:b w:val="0"/>
                <w:sz w:val="22"/>
              </w:rPr>
              <w:t>null (all within 0.087)</w:t>
            </w:r>
          </w:p>
        </w:tc>
        <w:tc>
          <w:tcPr>
            <w:tcW w:type="dxa" w:w="3213"/>
          </w:tcPr>
          <w:p>
            <w:pPr>
              <w:spacing w:before="20" w:after="20"/>
              <w:jc w:val="center"/>
            </w:pPr>
            <w:r/>
            <w:r>
              <w:rPr>
                <w:rFonts w:ascii="Times New Roman" w:hAnsi="Times New Roman" w:eastAsia="Times New Roman"/>
                <w:b w:val="0"/>
                <w:sz w:val="22"/>
              </w:rPr>
              <w:t>largest gain: mastery −1.026</w:t>
            </w:r>
          </w:p>
        </w:tc>
      </w:tr>
    </w:tbl>
    <w:p>
      <w:pPr>
        <w:spacing w:line="240" w:lineRule="auto" w:after="80" w:before="0"/>
        <w:jc w:val="left"/>
      </w:pPr>
      <w:r/>
    </w:p>
    <w:p>
      <w:pPr>
        <w:spacing w:line="240" w:lineRule="auto" w:after="120" w:before="0"/>
        <w:ind w:firstLine="567"/>
        <w:jc w:val="both"/>
      </w:pPr>
      <w:r>
        <w:rPr>
          <w:rFonts w:ascii="Times New Roman" w:hAnsi="Times New Roman" w:cs="Times New Roman" w:eastAsia="Times New Roman"/>
          <w:b w:val="0"/>
          <w:i w:val="0"/>
          <w:sz w:val="24"/>
        </w:rPr>
        <w:t>On DDD, no Twin block beats B_lms by more than 1.0 RMSE on either split, the full C_twin stays within ±0.025 RMSE (non-inferior, not better), and the minimal A_simple is clearly worse (+1.207 grouped, +4.105 temporal-forward) — confirming the LMS layer already carries the signal. On BBB, which has a richer assessment structure, the mastery block improves the temporal-forward split by −1.026 RMSE (6.311 → 5.284) and the full C_twin by −0.765, but the student-grouped split stays null and the trend/index blocks are null on both courses.</w:t>
      </w:r>
    </w:p>
    <w:p>
      <w:pPr>
        <w:spacing w:line="240" w:lineRule="auto" w:after="120" w:before="0"/>
        <w:ind w:firstLine="567"/>
        <w:jc w:val="both"/>
      </w:pPr>
      <w:r>
        <w:rPr>
          <w:rFonts w:ascii="Times New Roman" w:hAnsi="Times New Roman" w:cs="Times New Roman" w:eastAsia="Times New Roman"/>
          <w:b w:val="0"/>
          <w:i w:val="0"/>
          <w:sz w:val="24"/>
        </w:rPr>
        <w:t>Engineered Twin value is therefore heterogeneous: it appears only under forward-time prediction on a course with rich assessment structure, and disappears under the student-grouped regime. We verified that the direction of the single positive cell is robust: a student-clustered bootstrap (5,000 resamples of the 559 held-out test students, seed = 42) was run by re-executing the frozen pipeline. Because gradient boosting is environment-sensitive, reproduced point estimates differ from the stored ones (reproduced delta −2.16 vs. stored −1.03 RMSE); the 95% confidence interval of the mastery RMSE reduction lies entirely below zero ([−2.54, −1.80]; P(delta ≥ 0) = 0.000 across all 5,000 resamples), confirming the direction is not noise. The magnitude is sensitive to the out-of-time extrapolation regime, so we treat this as the one cell where Twin features clearly help, not as a stable effect size. Crucially, the OULAD classification target is genuinely predictive throughout (best-model F1 0.83–0.93, never 1.000), which is what makes this negative finding trustworthy.</w:t>
      </w:r>
    </w:p>
    <w:p>
      <w:pPr>
        <w:spacing w:line="240" w:lineRule="auto" w:after="40" w:before="120"/>
        <w:jc w:val="center"/>
      </w:pPr>
      <w:r>
        <w:drawing>
          <wp:inline xmlns:a="http://schemas.openxmlformats.org/drawingml/2006/main" xmlns:pic="http://schemas.openxmlformats.org/drawingml/2006/picture">
            <wp:extent cx="5760000" cy="2292245"/>
            <wp:docPr id="5" name="Picture 5"/>
            <wp:cNvGraphicFramePr>
              <a:graphicFrameLocks noChangeAspect="1"/>
            </wp:cNvGraphicFramePr>
            <a:graphic>
              <a:graphicData uri="http://schemas.openxmlformats.org/drawingml/2006/picture">
                <pic:pic>
                  <pic:nvPicPr>
                    <pic:cNvPr id="0" name="fig5_evalarc.png"/>
                    <pic:cNvPicPr/>
                  </pic:nvPicPr>
                  <pic:blipFill>
                    <a:blip r:embed="rId13"/>
                    <a:stretch>
                      <a:fillRect/>
                    </a:stretch>
                  </pic:blipFill>
                  <pic:spPr>
                    <a:xfrm>
                      <a:off x="0" y="0"/>
                      <a:ext cx="5760000" cy="2292245"/>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5 – Dependency-driven evaluation arc and its honest verdict: only the BBB temporal-forward cell shows a real mastery gain (−1.026 RMSE); everything else is null or weak, so the overall finding is mixed-to-null.</w:t>
      </w:r>
    </w:p>
    <w:p>
      <w:pPr>
        <w:spacing w:line="240" w:lineRule="auto" w:after="80" w:before="200"/>
        <w:jc w:val="left"/>
      </w:pPr>
      <w:r>
        <w:rPr>
          <w:rFonts w:ascii="Times New Roman" w:hAnsi="Times New Roman" w:cs="Times New Roman" w:eastAsia="Times New Roman"/>
          <w:b/>
          <w:i/>
          <w:sz w:val="24"/>
        </w:rPr>
        <w:t>XAI and explanation stability</w:t>
      </w:r>
    </w:p>
    <w:p>
      <w:pPr>
        <w:spacing w:line="240" w:lineRule="auto" w:after="120" w:before="0"/>
        <w:ind w:firstLine="567"/>
        <w:jc w:val="both"/>
      </w:pPr>
      <w:r>
        <w:rPr>
          <w:rFonts w:ascii="Times New Roman" w:hAnsi="Times New Roman" w:cs="Times New Roman" w:eastAsia="Times New Roman"/>
          <w:b w:val="0"/>
          <w:i w:val="0"/>
          <w:sz w:val="24"/>
        </w:rPr>
        <w:t>Explanations use held-out permutation importance, model-native importance, and one-feature local median-replacement perturbation. We deliberately avoid SHAP: Shapley-value attributions rest on a background / conditional-expectation estimate that is fragile on the small per-student samples surfaced in the teacher UI, and have documented conceptual and robustness problems as feature-importance measures [12], [13]; the perturbation method instead operates directly on the single prediction row shown to the teacher, with no background-set assumption. On DDD, the dominant factor is assessment_submission_rate_due_to_date (importance share 0.28–0.38; 0.381 in the headline model) and, once mastery is included, the co-circular overall_mastery_proxy (0.23–0.43). The genuinely exogenous signals — is_unregistered_by_week (0.13–0.20) and VLE clickstream (0.02–0.06) — are interpretable but carry modest weight (Table 3).</w:t>
      </w:r>
    </w:p>
    <w:p>
      <w:pPr>
        <w:spacing w:line="240" w:lineRule="auto" w:after="40" w:before="120"/>
        <w:jc w:val="left"/>
      </w:pPr>
      <w:r>
        <w:rPr>
          <w:rFonts w:ascii="Times New Roman" w:hAnsi="Times New Roman" w:cs="Times New Roman" w:eastAsia="Times New Roman"/>
          <w:b w:val="0"/>
          <w:i w:val="0"/>
          <w:sz w:val="22"/>
        </w:rPr>
        <w:t>Table 3 – Top global importance shares (DDD 2013J, fixed model)</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20" w:after="20"/>
              <w:jc w:val="center"/>
            </w:pPr>
            <w:r/>
            <w:r>
              <w:rPr>
                <w:rFonts w:ascii="Times New Roman" w:hAnsi="Times New Roman" w:eastAsia="Times New Roman"/>
                <w:b/>
                <w:sz w:val="22"/>
              </w:rPr>
              <w:t>Feature set</w:t>
            </w:r>
          </w:p>
        </w:tc>
        <w:tc>
          <w:tcPr>
            <w:tcW w:type="dxa" w:w="2409"/>
          </w:tcPr>
          <w:p>
            <w:pPr>
              <w:spacing w:before="20" w:after="20"/>
              <w:jc w:val="center"/>
            </w:pPr>
            <w:r/>
            <w:r>
              <w:rPr>
                <w:rFonts w:ascii="Times New Roman" w:hAnsi="Times New Roman" w:eastAsia="Times New Roman"/>
                <w:b/>
                <w:sz w:val="22"/>
              </w:rPr>
              <w:t>Rank</w:t>
            </w:r>
          </w:p>
        </w:tc>
        <w:tc>
          <w:tcPr>
            <w:tcW w:type="dxa" w:w="2409"/>
          </w:tcPr>
          <w:p>
            <w:pPr>
              <w:spacing w:before="20" w:after="20"/>
              <w:jc w:val="center"/>
            </w:pPr>
            <w:r/>
            <w:r>
              <w:rPr>
                <w:rFonts w:ascii="Times New Roman" w:hAnsi="Times New Roman" w:eastAsia="Times New Roman"/>
                <w:b/>
                <w:sz w:val="22"/>
              </w:rPr>
              <w:t>Feature</w:t>
            </w:r>
          </w:p>
        </w:tc>
        <w:tc>
          <w:tcPr>
            <w:tcW w:type="dxa" w:w="2409"/>
          </w:tcPr>
          <w:p>
            <w:pPr>
              <w:spacing w:before="20" w:after="20"/>
              <w:jc w:val="center"/>
            </w:pPr>
            <w:r/>
            <w:r>
              <w:rPr>
                <w:rFonts w:ascii="Times New Roman" w:hAnsi="Times New Roman" w:eastAsia="Times New Roman"/>
                <w:b/>
                <w:sz w:val="22"/>
              </w:rPr>
              <w:t>Importance share</w:t>
            </w:r>
          </w:p>
        </w:tc>
      </w:tr>
      <w:tr>
        <w:tc>
          <w:tcPr>
            <w:tcW w:type="dxa" w:w="2409"/>
          </w:tcPr>
          <w:p>
            <w:pPr>
              <w:spacing w:before="20" w:after="20"/>
              <w:jc w:val="left"/>
            </w:pPr>
            <w:r/>
            <w:r>
              <w:rPr>
                <w:rFonts w:ascii="Times New Roman" w:hAnsi="Times New Roman" w:eastAsia="Times New Roman"/>
                <w:b w:val="0"/>
                <w:sz w:val="22"/>
              </w:rPr>
              <w:t>B_lms</w:t>
            </w:r>
          </w:p>
        </w:tc>
        <w:tc>
          <w:tcPr>
            <w:tcW w:type="dxa" w:w="2409"/>
          </w:tcPr>
          <w:p>
            <w:pPr>
              <w:spacing w:before="20" w:after="20"/>
              <w:jc w:val="center"/>
            </w:pPr>
            <w:r/>
            <w:r>
              <w:rPr>
                <w:rFonts w:ascii="Times New Roman" w:hAnsi="Times New Roman" w:eastAsia="Times New Roman"/>
                <w:b w:val="0"/>
                <w:sz w:val="22"/>
              </w:rPr>
              <w:t>1</w:t>
            </w:r>
          </w:p>
        </w:tc>
        <w:tc>
          <w:tcPr>
            <w:tcW w:type="dxa" w:w="2409"/>
          </w:tcPr>
          <w:p>
            <w:pPr>
              <w:spacing w:before="20" w:after="20"/>
              <w:jc w:val="center"/>
            </w:pPr>
            <w:r/>
            <w:r>
              <w:rPr>
                <w:rFonts w:ascii="Times New Roman" w:hAnsi="Times New Roman" w:eastAsia="Times New Roman"/>
                <w:b w:val="0"/>
                <w:sz w:val="22"/>
              </w:rPr>
              <w:t>activity_score_to_date</w:t>
            </w:r>
          </w:p>
        </w:tc>
        <w:tc>
          <w:tcPr>
            <w:tcW w:type="dxa" w:w="2409"/>
          </w:tcPr>
          <w:p>
            <w:pPr>
              <w:spacing w:before="20" w:after="20"/>
              <w:jc w:val="center"/>
            </w:pPr>
            <w:r/>
            <w:r>
              <w:rPr>
                <w:rFonts w:ascii="Times New Roman" w:hAnsi="Times New Roman" w:eastAsia="Times New Roman"/>
                <w:b w:val="0"/>
                <w:sz w:val="22"/>
              </w:rPr>
              <w:t>0.701</w:t>
            </w:r>
          </w:p>
        </w:tc>
      </w:tr>
      <w:tr>
        <w:tc>
          <w:tcPr>
            <w:tcW w:type="dxa" w:w="2409"/>
          </w:tcPr>
          <w:p>
            <w:pPr>
              <w:spacing w:before="20" w:after="20"/>
              <w:jc w:val="left"/>
            </w:pPr>
            <w:r/>
            <w:r>
              <w:rPr>
                <w:rFonts w:ascii="Times New Roman" w:hAnsi="Times New Roman" w:eastAsia="Times New Roman"/>
                <w:b w:val="0"/>
                <w:sz w:val="22"/>
              </w:rPr>
              <w:t>B_lms</w:t>
            </w:r>
          </w:p>
        </w:tc>
        <w:tc>
          <w:tcPr>
            <w:tcW w:type="dxa" w:w="2409"/>
          </w:tcPr>
          <w:p>
            <w:pPr>
              <w:spacing w:before="20" w:after="20"/>
              <w:jc w:val="center"/>
            </w:pPr>
            <w:r/>
            <w:r>
              <w:rPr>
                <w:rFonts w:ascii="Times New Roman" w:hAnsi="Times New Roman" w:eastAsia="Times New Roman"/>
                <w:b w:val="0"/>
                <w:sz w:val="22"/>
              </w:rPr>
              <w:t>2</w:t>
            </w:r>
          </w:p>
        </w:tc>
        <w:tc>
          <w:tcPr>
            <w:tcW w:type="dxa" w:w="2409"/>
          </w:tcPr>
          <w:p>
            <w:pPr>
              <w:spacing w:before="20" w:after="20"/>
              <w:jc w:val="center"/>
            </w:pPr>
            <w:r/>
            <w:r>
              <w:rPr>
                <w:rFonts w:ascii="Times New Roman" w:hAnsi="Times New Roman" w:eastAsia="Times New Roman"/>
                <w:b w:val="0"/>
                <w:sz w:val="22"/>
              </w:rPr>
              <w:t>avg_assignment_score_to_date</w:t>
            </w:r>
          </w:p>
        </w:tc>
        <w:tc>
          <w:tcPr>
            <w:tcW w:type="dxa" w:w="2409"/>
          </w:tcPr>
          <w:p>
            <w:pPr>
              <w:spacing w:before="20" w:after="20"/>
              <w:jc w:val="center"/>
            </w:pPr>
            <w:r/>
            <w:r>
              <w:rPr>
                <w:rFonts w:ascii="Times New Roman" w:hAnsi="Times New Roman" w:eastAsia="Times New Roman"/>
                <w:b w:val="0"/>
                <w:sz w:val="22"/>
              </w:rPr>
              <w:t>0.145</w:t>
            </w:r>
          </w:p>
        </w:tc>
      </w:tr>
      <w:tr>
        <w:tc>
          <w:tcPr>
            <w:tcW w:type="dxa" w:w="2409"/>
          </w:tcPr>
          <w:p>
            <w:pPr>
              <w:spacing w:before="20" w:after="20"/>
              <w:jc w:val="left"/>
            </w:pPr>
            <w:r/>
            <w:r>
              <w:rPr>
                <w:rFonts w:ascii="Times New Roman" w:hAnsi="Times New Roman" w:eastAsia="Times New Roman"/>
                <w:b w:val="0"/>
                <w:sz w:val="22"/>
              </w:rPr>
              <w:t>B_lms</w:t>
            </w:r>
          </w:p>
        </w:tc>
        <w:tc>
          <w:tcPr>
            <w:tcW w:type="dxa" w:w="2409"/>
          </w:tcPr>
          <w:p>
            <w:pPr>
              <w:spacing w:before="20" w:after="20"/>
              <w:jc w:val="center"/>
            </w:pPr>
            <w:r/>
            <w:r>
              <w:rPr>
                <w:rFonts w:ascii="Times New Roman" w:hAnsi="Times New Roman" w:eastAsia="Times New Roman"/>
                <w:b w:val="0"/>
                <w:sz w:val="22"/>
              </w:rPr>
              <w:t>3</w:t>
            </w:r>
          </w:p>
        </w:tc>
        <w:tc>
          <w:tcPr>
            <w:tcW w:type="dxa" w:w="2409"/>
          </w:tcPr>
          <w:p>
            <w:pPr>
              <w:spacing w:before="20" w:after="20"/>
              <w:jc w:val="center"/>
            </w:pPr>
            <w:r/>
            <w:r>
              <w:rPr>
                <w:rFonts w:ascii="Times New Roman" w:hAnsi="Times New Roman" w:eastAsia="Times New Roman"/>
                <w:b w:val="0"/>
                <w:sz w:val="22"/>
              </w:rPr>
              <w:t>avg_quiz_score_to_date</w:t>
            </w:r>
          </w:p>
        </w:tc>
        <w:tc>
          <w:tcPr>
            <w:tcW w:type="dxa" w:w="2409"/>
          </w:tcPr>
          <w:p>
            <w:pPr>
              <w:spacing w:before="20" w:after="20"/>
              <w:jc w:val="center"/>
            </w:pPr>
            <w:r/>
            <w:r>
              <w:rPr>
                <w:rFonts w:ascii="Times New Roman" w:hAnsi="Times New Roman" w:eastAsia="Times New Roman"/>
                <w:b w:val="0"/>
                <w:sz w:val="22"/>
              </w:rPr>
              <w:t>0.086</w:t>
            </w:r>
          </w:p>
        </w:tc>
      </w:tr>
      <w:tr>
        <w:tc>
          <w:tcPr>
            <w:tcW w:type="dxa" w:w="2409"/>
          </w:tcPr>
          <w:p>
            <w:pPr>
              <w:spacing w:before="20" w:after="20"/>
              <w:jc w:val="left"/>
            </w:pPr>
            <w:r/>
            <w:r>
              <w:rPr>
                <w:rFonts w:ascii="Times New Roman" w:hAnsi="Times New Roman" w:eastAsia="Times New Roman"/>
                <w:b w:val="0"/>
                <w:sz w:val="22"/>
              </w:rPr>
              <w:t>B_lms + mastery</w:t>
            </w:r>
          </w:p>
        </w:tc>
        <w:tc>
          <w:tcPr>
            <w:tcW w:type="dxa" w:w="2409"/>
          </w:tcPr>
          <w:p>
            <w:pPr>
              <w:spacing w:before="20" w:after="20"/>
              <w:jc w:val="center"/>
            </w:pPr>
            <w:r/>
            <w:r>
              <w:rPr>
                <w:rFonts w:ascii="Times New Roman" w:hAnsi="Times New Roman" w:eastAsia="Times New Roman"/>
                <w:b w:val="0"/>
                <w:sz w:val="22"/>
              </w:rPr>
              <w:t>1</w:t>
            </w:r>
          </w:p>
        </w:tc>
        <w:tc>
          <w:tcPr>
            <w:tcW w:type="dxa" w:w="2409"/>
          </w:tcPr>
          <w:p>
            <w:pPr>
              <w:spacing w:before="20" w:after="20"/>
              <w:jc w:val="center"/>
            </w:pPr>
            <w:r/>
            <w:r>
              <w:rPr>
                <w:rFonts w:ascii="Times New Roman" w:hAnsi="Times New Roman" w:eastAsia="Times New Roman"/>
                <w:b w:val="0"/>
                <w:sz w:val="22"/>
              </w:rPr>
              <w:t>activity_score_to_date</w:t>
            </w:r>
          </w:p>
        </w:tc>
        <w:tc>
          <w:tcPr>
            <w:tcW w:type="dxa" w:w="2409"/>
          </w:tcPr>
          <w:p>
            <w:pPr>
              <w:spacing w:before="20" w:after="20"/>
              <w:jc w:val="center"/>
            </w:pPr>
            <w:r/>
            <w:r>
              <w:rPr>
                <w:rFonts w:ascii="Times New Roman" w:hAnsi="Times New Roman" w:eastAsia="Times New Roman"/>
                <w:b w:val="0"/>
                <w:sz w:val="22"/>
              </w:rPr>
              <w:t>0.648</w:t>
            </w:r>
          </w:p>
        </w:tc>
      </w:tr>
      <w:tr>
        <w:tc>
          <w:tcPr>
            <w:tcW w:type="dxa" w:w="2409"/>
          </w:tcPr>
          <w:p>
            <w:pPr>
              <w:spacing w:before="20" w:after="20"/>
              <w:jc w:val="left"/>
            </w:pPr>
            <w:r/>
            <w:r>
              <w:rPr>
                <w:rFonts w:ascii="Times New Roman" w:hAnsi="Times New Roman" w:eastAsia="Times New Roman"/>
                <w:b w:val="0"/>
                <w:sz w:val="22"/>
              </w:rPr>
              <w:t>B_lms + mastery</w:t>
            </w:r>
          </w:p>
        </w:tc>
        <w:tc>
          <w:tcPr>
            <w:tcW w:type="dxa" w:w="2409"/>
          </w:tcPr>
          <w:p>
            <w:pPr>
              <w:spacing w:before="20" w:after="20"/>
              <w:jc w:val="center"/>
            </w:pPr>
            <w:r/>
            <w:r>
              <w:rPr>
                <w:rFonts w:ascii="Times New Roman" w:hAnsi="Times New Roman" w:eastAsia="Times New Roman"/>
                <w:b w:val="0"/>
                <w:sz w:val="22"/>
              </w:rPr>
              <w:t>2</w:t>
            </w:r>
          </w:p>
        </w:tc>
        <w:tc>
          <w:tcPr>
            <w:tcW w:type="dxa" w:w="2409"/>
          </w:tcPr>
          <w:p>
            <w:pPr>
              <w:spacing w:before="20" w:after="20"/>
              <w:jc w:val="center"/>
            </w:pPr>
            <w:r/>
            <w:r>
              <w:rPr>
                <w:rFonts w:ascii="Times New Roman" w:hAnsi="Times New Roman" w:eastAsia="Times New Roman"/>
                <w:b w:val="0"/>
                <w:sz w:val="22"/>
              </w:rPr>
              <w:t>overall_mastery</w:t>
            </w:r>
          </w:p>
        </w:tc>
        <w:tc>
          <w:tcPr>
            <w:tcW w:type="dxa" w:w="2409"/>
          </w:tcPr>
          <w:p>
            <w:pPr>
              <w:spacing w:before="20" w:after="20"/>
              <w:jc w:val="center"/>
            </w:pPr>
            <w:r/>
            <w:r>
              <w:rPr>
                <w:rFonts w:ascii="Times New Roman" w:hAnsi="Times New Roman" w:eastAsia="Times New Roman"/>
                <w:b w:val="0"/>
                <w:sz w:val="22"/>
              </w:rPr>
              <w:t>0.178</w:t>
            </w:r>
          </w:p>
        </w:tc>
      </w:tr>
      <w:tr>
        <w:tc>
          <w:tcPr>
            <w:tcW w:type="dxa" w:w="2409"/>
          </w:tcPr>
          <w:p>
            <w:pPr>
              <w:spacing w:before="20" w:after="20"/>
              <w:jc w:val="left"/>
            </w:pPr>
            <w:r/>
            <w:r>
              <w:rPr>
                <w:rFonts w:ascii="Times New Roman" w:hAnsi="Times New Roman" w:eastAsia="Times New Roman"/>
                <w:b w:val="0"/>
                <w:sz w:val="22"/>
              </w:rPr>
              <w:t>B_lms + mastery</w:t>
            </w:r>
          </w:p>
        </w:tc>
        <w:tc>
          <w:tcPr>
            <w:tcW w:type="dxa" w:w="2409"/>
          </w:tcPr>
          <w:p>
            <w:pPr>
              <w:spacing w:before="20" w:after="20"/>
              <w:jc w:val="center"/>
            </w:pPr>
            <w:r/>
            <w:r>
              <w:rPr>
                <w:rFonts w:ascii="Times New Roman" w:hAnsi="Times New Roman" w:eastAsia="Times New Roman"/>
                <w:b w:val="0"/>
                <w:sz w:val="22"/>
              </w:rPr>
              <w:t>3</w:t>
            </w:r>
          </w:p>
        </w:tc>
        <w:tc>
          <w:tcPr>
            <w:tcW w:type="dxa" w:w="2409"/>
          </w:tcPr>
          <w:p>
            <w:pPr>
              <w:spacing w:before="20" w:after="20"/>
              <w:jc w:val="center"/>
            </w:pPr>
            <w:r/>
            <w:r>
              <w:rPr>
                <w:rFonts w:ascii="Times New Roman" w:hAnsi="Times New Roman" w:eastAsia="Times New Roman"/>
                <w:b w:val="0"/>
                <w:sz w:val="22"/>
              </w:rPr>
              <w:t>avg_assignment_score_to_date</w:t>
            </w:r>
          </w:p>
        </w:tc>
        <w:tc>
          <w:tcPr>
            <w:tcW w:type="dxa" w:w="2409"/>
          </w:tcPr>
          <w:p>
            <w:pPr>
              <w:spacing w:before="20" w:after="20"/>
              <w:jc w:val="center"/>
            </w:pPr>
            <w:r/>
            <w:r>
              <w:rPr>
                <w:rFonts w:ascii="Times New Roman" w:hAnsi="Times New Roman" w:eastAsia="Times New Roman"/>
                <w:b w:val="0"/>
                <w:sz w:val="22"/>
              </w:rPr>
              <w:t>0.090</w:t>
            </w:r>
          </w:p>
        </w:tc>
      </w:tr>
    </w:tbl>
    <w:p>
      <w:pPr>
        <w:spacing w:line="240" w:lineRule="auto" w:after="80" w:before="0"/>
        <w:jc w:val="left"/>
      </w:pPr>
      <w:r/>
    </w:p>
    <w:p>
      <w:pPr>
        <w:spacing w:line="240" w:lineRule="auto" w:after="40" w:before="120"/>
        <w:jc w:val="center"/>
      </w:pPr>
      <w:r>
        <w:drawing>
          <wp:inline xmlns:a="http://schemas.openxmlformats.org/drawingml/2006/main" xmlns:pic="http://schemas.openxmlformats.org/drawingml/2006/picture">
            <wp:extent cx="5760000" cy="2838544"/>
            <wp:docPr id="6" name="Picture 6"/>
            <wp:cNvGraphicFramePr>
              <a:graphicFrameLocks noChangeAspect="1"/>
            </wp:cNvGraphicFramePr>
            <a:graphic>
              <a:graphicData uri="http://schemas.openxmlformats.org/drawingml/2006/picture">
                <pic:pic>
                  <pic:nvPicPr>
                    <pic:cNvPr id="0" name="fig6_xai_panel.png"/>
                    <pic:cNvPicPr/>
                  </pic:nvPicPr>
                  <pic:blipFill>
                    <a:blip r:embed="rId14"/>
                    <a:stretch>
                      <a:fillRect/>
                    </a:stretch>
                  </pic:blipFill>
                  <pic:spPr>
                    <a:xfrm>
                      <a:off x="0" y="0"/>
                      <a:ext cx="5760000" cy="2838544"/>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6 – Per-student model-behaviour explanation: signals that raise vs. lower the current-week prediction, a teacher-readable summary sentence, and the explicit XAI limitation notice (model behaviour, not causes; not a sole basis for intervention; rankings shift across regimes).</w:t>
      </w:r>
    </w:p>
    <w:p>
      <w:pPr>
        <w:spacing w:line="240" w:lineRule="auto" w:after="120" w:before="0"/>
        <w:ind w:firstLine="567"/>
        <w:jc w:val="both"/>
      </w:pPr>
      <w:r>
        <w:rPr>
          <w:rFonts w:ascii="Times New Roman" w:hAnsi="Times New Roman" w:cs="Times New Roman" w:eastAsia="Times New Roman"/>
          <w:b w:val="0"/>
          <w:i w:val="0"/>
          <w:sz w:val="24"/>
        </w:rPr>
        <w:t>The rankings are not invariant. Within a course, across splits, Kendall τ = 0.79 / 0.68 / 0.55 for B_lms / +mastery / C_twin (mean 0.67); none reach 0.90. Across courses (DDD vs. BBB), τ = 0.32–0.61 (mean 0.52) — even less stable. Across three institutions (engagement-only), mean τ ≈ 0.56; clicks and active-days recur as top drivers, but the mid/lower ordering is institution-specific (Figure 7).</w:t>
      </w:r>
    </w:p>
    <w:p>
      <w:pPr>
        <w:spacing w:line="240" w:lineRule="auto" w:after="40" w:before="120"/>
        <w:jc w:val="center"/>
      </w:pPr>
      <w:r>
        <w:drawing>
          <wp:inline xmlns:a="http://schemas.openxmlformats.org/drawingml/2006/main" xmlns:pic="http://schemas.openxmlformats.org/drawingml/2006/picture">
            <wp:extent cx="5760000" cy="4114286"/>
            <wp:docPr id="7" name="Picture 7"/>
            <wp:cNvGraphicFramePr>
              <a:graphicFrameLocks noChangeAspect="1"/>
            </wp:cNvGraphicFramePr>
            <a:graphic>
              <a:graphicData uri="http://schemas.openxmlformats.org/drawingml/2006/picture">
                <pic:pic>
                  <pic:nvPicPr>
                    <pic:cNvPr id="0" name="fig7_stability.png"/>
                    <pic:cNvPicPr/>
                  </pic:nvPicPr>
                  <pic:blipFill>
                    <a:blip r:embed="rId15"/>
                    <a:stretch>
                      <a:fillRect/>
                    </a:stretch>
                  </pic:blipFill>
                  <pic:spPr>
                    <a:xfrm>
                      <a:off x="0" y="0"/>
                      <a:ext cx="5760000" cy="4114286"/>
                    </a:xfrm>
                    <a:prstGeom prst="rect"/>
                  </pic:spPr>
                </pic:pic>
              </a:graphicData>
            </a:graphic>
          </wp:inline>
        </w:drawing>
      </w:r>
    </w:p>
    <w:p>
      <w:pPr>
        <w:spacing w:line="240" w:lineRule="auto" w:after="160" w:before="0"/>
        <w:jc w:val="center"/>
      </w:pPr>
      <w:r>
        <w:rPr>
          <w:rFonts w:ascii="Times New Roman" w:hAnsi="Times New Roman" w:cs="Times New Roman" w:eastAsia="Times New Roman"/>
          <w:b w:val="0"/>
          <w:i w:val="0"/>
          <w:sz w:val="22"/>
        </w:rPr>
        <w:t>Figure 7 – Explanation-stability summary. Mean Kendall τ of permutation-importance rankings falls as the evaluation regime moves further from training and never reaches the τ = 0.90 stability threshold. Explanations must therefore be framed as model behaviour under a particular evaluation scenario, not as stable causal rankings.</w:t>
      </w:r>
    </w:p>
    <w:p>
      <w:pPr>
        <w:spacing w:line="240" w:lineRule="auto" w:after="120" w:before="0"/>
        <w:ind w:firstLine="567"/>
        <w:jc w:val="both"/>
      </w:pPr>
      <w:r>
        <w:rPr>
          <w:rFonts w:ascii="Times New Roman" w:hAnsi="Times New Roman" w:cs="Times New Roman" w:eastAsia="Times New Roman"/>
          <w:b w:val="0"/>
          <w:i w:val="0"/>
          <w:sz w:val="24"/>
        </w:rPr>
        <w:t>A controlled synthetic faithfulness probe confirms the method is faithful when ground truth is known: at the final course week, permutation importance recovers the generator's weight ordering exactly (Kendall τ = 1.0). The same few features dominate across regimes, but their relative priority reorders.</w:t>
      </w:r>
    </w:p>
    <w:p>
      <w:pPr>
        <w:spacing w:line="240" w:lineRule="auto" w:after="80" w:before="200"/>
        <w:jc w:val="left"/>
      </w:pPr>
      <w:r>
        <w:rPr>
          <w:rFonts w:ascii="Times New Roman" w:hAnsi="Times New Roman" w:cs="Times New Roman" w:eastAsia="Times New Roman"/>
          <w:b/>
          <w:i/>
          <w:sz w:val="24"/>
        </w:rPr>
        <w:t>Second institution</w:t>
      </w:r>
    </w:p>
    <w:p>
      <w:pPr>
        <w:spacing w:line="240" w:lineRule="auto" w:after="120" w:before="0"/>
        <w:ind w:firstLine="567"/>
        <w:jc w:val="both"/>
      </w:pPr>
      <w:r>
        <w:rPr>
          <w:rFonts w:ascii="Times New Roman" w:hAnsi="Times New Roman" w:cs="Times New Roman" w:eastAsia="Times New Roman"/>
          <w:b w:val="0"/>
          <w:i w:val="0"/>
          <w:sz w:val="24"/>
        </w:rPr>
        <w:t>KU Leuven exposes clickstream and course structure but no intermediate scored assessments and no continuous grade — only a binary PASSED outcome. The mastery/Twin ablation therefore cannot be built there at all (itself a cross-institution heterogeneity result). On its engagement-only task, prediction is modest (F1 0.75–0.76, ROC-AUC 0.65–0.72) and a richer engagement set does not beat a minimal two-feature one (fixed-model F1 delta −0.015 / +0.000). A matched three-institution synthesis confirms a two-feature engagement baseline (clicks + active-days) is hard to beat (F1 delta spread −0.016 to +0.026).</w:t>
      </w:r>
    </w:p>
    <w:p>
      <w:pPr>
        <w:spacing w:line="240" w:lineRule="auto" w:after="80" w:before="200"/>
        <w:jc w:val="left"/>
      </w:pPr>
      <w:r>
        <w:rPr>
          <w:rFonts w:ascii="Times New Roman" w:hAnsi="Times New Roman" w:cs="Times New Roman" w:eastAsia="Times New Roman"/>
          <w:b/>
          <w:i/>
          <w:sz w:val="24"/>
        </w:rPr>
        <w:t>Discussion</w:t>
      </w:r>
    </w:p>
    <w:p>
      <w:pPr>
        <w:spacing w:line="240" w:lineRule="auto" w:after="120" w:before="0"/>
        <w:ind w:firstLine="567"/>
        <w:jc w:val="both"/>
      </w:pPr>
      <w:r>
        <w:rPr>
          <w:rFonts w:ascii="Times New Roman" w:hAnsi="Times New Roman" w:cs="Times New Roman" w:eastAsia="Times New Roman"/>
          <w:b w:val="0"/>
          <w:i w:val="0"/>
          <w:sz w:val="24"/>
        </w:rPr>
        <w:t>Three points follow. First, on the central question — do Twin features beat a competent LMS baseline? — the honest answer across three real cohorts and two institutions is not robustly. The benefit is real but narrow (BBB, temporal-forward, mastery) and vanishes under the stricter student-grouped regime, on other courses, and on other blocks. Reporting only the favourable cell, as is common, would have manufactured a false “Twin wins” narrative.</w:t>
      </w:r>
    </w:p>
    <w:p>
      <w:pPr>
        <w:spacing w:line="240" w:lineRule="auto" w:after="120" w:before="0"/>
        <w:ind w:firstLine="567"/>
        <w:jc w:val="both"/>
      </w:pPr>
      <w:r>
        <w:rPr>
          <w:rFonts w:ascii="Times New Roman" w:hAnsi="Times New Roman" w:cs="Times New Roman" w:eastAsia="Times New Roman"/>
          <w:b w:val="0"/>
          <w:i w:val="0"/>
          <w:sz w:val="24"/>
        </w:rPr>
        <w:t>Second, explanations are regime-dependent. Importance rankings reorder across splits, courses, and institutions, which has a direct product consequence: a teacher UI must present XAI output as “how the model weights each signal for this prediction”, not “why this student is at risk”. Our interface encodes exactly this caveat.</w:t>
      </w:r>
    </w:p>
    <w:p>
      <w:pPr>
        <w:spacing w:line="240" w:lineRule="auto" w:after="120" w:before="0"/>
        <w:ind w:firstLine="567"/>
        <w:jc w:val="both"/>
      </w:pPr>
      <w:r>
        <w:rPr>
          <w:rFonts w:ascii="Times New Roman" w:hAnsi="Times New Roman" w:cs="Times New Roman" w:eastAsia="Times New Roman"/>
          <w:b w:val="0"/>
          <w:i w:val="0"/>
          <w:sz w:val="24"/>
        </w:rPr>
        <w:t>Third, the contribution is best read on three axes, not accuracy alone. On accuracy this work is comparable to standard baselines and below the published best (ROC-AUC 0.953 vs. 0.993 [4]) — expected and not a weakness. On explainability it provides per-student, background-free perturbation explanations with documented stability limits. On teacher-facing completeness it is, to our knowledge, the most complete openly-documented artifact of its kind.</w:t>
      </w:r>
    </w:p>
    <w:p>
      <w:pPr>
        <w:spacing w:line="240" w:lineRule="auto" w:after="120" w:before="0"/>
        <w:ind w:firstLine="567"/>
        <w:jc w:val="both"/>
      </w:pPr>
      <w:r>
        <w:rPr>
          <w:rFonts w:ascii="Times New Roman" w:hAnsi="Times New Roman" w:cs="Times New Roman" w:eastAsia="Times New Roman"/>
          <w:b/>
          <w:i w:val="0"/>
          <w:sz w:val="24"/>
        </w:rPr>
        <w:t xml:space="preserve">Limitations and threats to validity. </w:t>
      </w:r>
      <w:r>
        <w:rPr>
          <w:rFonts w:ascii="Times New Roman" w:hAnsi="Times New Roman" w:cs="Times New Roman" w:eastAsia="Times New Roman"/>
          <w:b w:val="0"/>
          <w:i w:val="0"/>
          <w:sz w:val="24"/>
        </w:rPr>
        <w:t>During development, a synthetic target manufactured an apparent “mastery win”: the synthetic final_grade is a deterministic, noise-free closed-form weighted mean of the same behaviours the features re-aggregate (week-10 reconstruction error 0.008, correlation 1.000000), so the resulting R² ≈ 0.99 and saturated passed F1 = 1.000 are algebraic artifacts, not learnable signal. We report this explicitly as a cautionary methodological result. On OULAD, final_weighted_score is partly fed by assessment scores, so the regression results lean somewhat on within-system accounting; the classification target and VLE clickstream are the cleaner, exogenous evidence. overall_mastery is close to cumulative LMS performance (|r| = 0.993 with avg_assignment_score), so it must not be presented as an independent construct. The teacher interface is a design demonstrator with no user evaluation. Evidence spans two OULAD courses (one institution) and a second institution that cannot test the mastery ablation; explanations are not causal and not SHAP. The what-if layer is a descriptive, perturbation-based estimate, not a mechanistic simulation or causal claim.</w:t>
      </w:r>
    </w:p>
    <w:p>
      <w:pPr>
        <w:spacing w:line="240" w:lineRule="auto" w:after="80" w:before="200"/>
        <w:jc w:val="left"/>
      </w:pPr>
      <w:r>
        <w:rPr>
          <w:rFonts w:ascii="Times New Roman" w:hAnsi="Times New Roman" w:cs="Times New Roman" w:eastAsia="Times New Roman"/>
          <w:b/>
          <w:i w:val="0"/>
          <w:sz w:val="24"/>
        </w:rPr>
        <w:t>Conclusions</w:t>
      </w:r>
    </w:p>
    <w:p>
      <w:pPr>
        <w:spacing w:line="240" w:lineRule="auto" w:after="120" w:before="0"/>
        <w:ind w:firstLine="567"/>
        <w:jc w:val="both"/>
      </w:pPr>
      <w:r>
        <w:rPr>
          <w:rFonts w:ascii="Times New Roman" w:hAnsi="Times New Roman" w:cs="Times New Roman" w:eastAsia="Times New Roman"/>
          <w:b w:val="0"/>
          <w:i w:val="0"/>
          <w:sz w:val="24"/>
        </w:rPr>
        <w:t>We presented an explainable, teacher-facing Student Digital Twin and evaluated it honestly across two institutions. On real, non-circular OULAD data the engineered Twin features do not deliver a consistent advantage over a competent LMS baseline: the result is mixed-to-null on DDD 2013J and heterogeneous on BBB 2013J (mastery −1.026 RMSE on temporal-forward only), and a second institution cannot even build the ablation. The accompanying XAI explanations are regime-sensitive within a course (Kendall τ 0.55–0.79) and partly course-specific across courses (0.32–0.61). The contribution is therefore methodological and system-level — a reproducible, leakage-aware pipeline with a teacher interface, an explanation-stability analysis, a documented synthetic-circularity failure mode, and an honest multi-cohort finding — rather than an accuracy record. As practical recommendations, teacher-facing dashboards should present XAI output as model behaviour under a stated evaluation scenario and should not assume that richer engineered features improve prediction without per-cohort verification. Future work includes external validation across more institutions and validated intervention/counterfactual reasoning.</w:t>
      </w:r>
    </w:p>
    <w:p>
      <w:pPr>
        <w:spacing w:line="240" w:lineRule="auto" w:after="80" w:before="200"/>
        <w:jc w:val="left"/>
      </w:pPr>
      <w:r>
        <w:rPr>
          <w:rFonts w:ascii="Times New Roman" w:hAnsi="Times New Roman" w:cs="Times New Roman" w:eastAsia="Times New Roman"/>
          <w:b/>
          <w:i w:val="0"/>
          <w:sz w:val="24"/>
        </w:rPr>
        <w:t>Acknowledgements</w:t>
      </w:r>
    </w:p>
    <w:p>
      <w:pPr>
        <w:spacing w:line="240" w:lineRule="auto" w:after="120" w:before="0"/>
        <w:ind w:firstLine="567"/>
        <w:jc w:val="both"/>
      </w:pPr>
      <w:r>
        <w:rPr>
          <w:rFonts w:ascii="Times New Roman" w:hAnsi="Times New Roman" w:cs="Times New Roman" w:eastAsia="Times New Roman"/>
          <w:b w:val="0"/>
          <w:i w:val="0"/>
          <w:sz w:val="24"/>
        </w:rPr>
        <w:t>This research received no external funding. The authors thank the providers of the public datasets used. All datasets are public and openly licensed: OULAD is distributed under CC-BY 4.0 [1]; the KU Leuven activity/performance dataset is distributed under CC-BY 4.0 via Zenodo [3]. The authors are not affiliated with, and report no competing interest in, the dataset providers. All experiment code, configuration, and frozen result artifacts (versioned JSON/CSV per experiment) are available in the project repository at [repository URL] to support independent reproduction.</w:t>
      </w:r>
    </w:p>
    <w:p>
      <w:pPr>
        <w:spacing w:line="240" w:lineRule="auto" w:after="80" w:before="200"/>
        <w:jc w:val="left"/>
      </w:pPr>
      <w:r>
        <w:rPr>
          <w:rFonts w:ascii="Times New Roman" w:hAnsi="Times New Roman" w:cs="Times New Roman" w:eastAsia="Times New Roman"/>
          <w:b/>
          <w:i w:val="0"/>
          <w:sz w:val="24"/>
        </w:rPr>
        <w:t>References</w:t>
      </w:r>
    </w:p>
    <w:p>
      <w:pPr>
        <w:spacing w:line="240" w:lineRule="auto" w:after="40" w:before="0"/>
        <w:jc w:val="both"/>
      </w:pPr>
      <w:r>
        <w:rPr>
          <w:rFonts w:ascii="Times New Roman" w:hAnsi="Times New Roman" w:cs="Times New Roman" w:eastAsia="Times New Roman"/>
          <w:b w:val="0"/>
          <w:i w:val="0"/>
          <w:sz w:val="22"/>
        </w:rPr>
        <w:t>[1] J. Kuzilek, M. Hlosta, and Z. Zdrahal, “Open University Learning Analytics dataset,” Scientific Data, vol. 4, art. 170171, 2017, doi: 10.1038/sdata.2017.171.</w:t>
      </w:r>
    </w:p>
    <w:p>
      <w:pPr>
        <w:spacing w:line="240" w:lineRule="auto" w:after="40" w:before="0"/>
        <w:jc w:val="both"/>
      </w:pPr>
      <w:r>
        <w:rPr>
          <w:rFonts w:ascii="Times New Roman" w:hAnsi="Times New Roman" w:cs="Times New Roman" w:eastAsia="Times New Roman"/>
          <w:b w:val="0"/>
          <w:i w:val="0"/>
          <w:sz w:val="22"/>
        </w:rPr>
        <w:t>[2] E. Tiukhova, P. Vemuri, N. López Flores, A. S. Islind, M. Óskarsdóttir, S. Poelmans, B. Baesens, and M. Snoeck, “Explainable Learning Analytics: Assessing the stability of student success prediction models by means of explainable AI,” Decision Support Systems, vol. 182, art. 114229, 2024, doi: 10.1016/j.dss.2024.114229.</w:t>
      </w:r>
    </w:p>
    <w:p>
      <w:pPr>
        <w:spacing w:line="240" w:lineRule="auto" w:after="40" w:before="0"/>
        <w:jc w:val="both"/>
      </w:pPr>
      <w:r>
        <w:rPr>
          <w:rFonts w:ascii="Times New Roman" w:hAnsi="Times New Roman" w:cs="Times New Roman" w:eastAsia="Times New Roman"/>
          <w:b w:val="0"/>
          <w:i w:val="0"/>
          <w:sz w:val="22"/>
        </w:rPr>
        <w:t>[3] E. Tiukhova, D. Van Landuyt, B. Baesens, and M. Snoeck, “Open data, private learners: a de-identified student activity and performance dataset for learning analytics,” Scientific Data, 2026, Zenodo, doi: 10.5281/zenodo.17087849.</w:t>
      </w:r>
    </w:p>
    <w:p>
      <w:pPr>
        <w:spacing w:line="240" w:lineRule="auto" w:after="40" w:before="0"/>
        <w:jc w:val="both"/>
      </w:pPr>
      <w:r>
        <w:rPr>
          <w:rFonts w:ascii="Times New Roman" w:hAnsi="Times New Roman" w:cs="Times New Roman" w:eastAsia="Times New Roman"/>
          <w:b w:val="0"/>
          <w:i w:val="0"/>
          <w:sz w:val="22"/>
        </w:rPr>
        <w:t>[4] J. López de la Rosa et al., “A Modular and Explainable Machine Learning Pipeline for Student Dropout Prediction in Higher Education,” Algorithms, vol. 18, no. 10, art. 662, 2025, doi: 10.3390/a18100662.</w:t>
      </w:r>
    </w:p>
    <w:p>
      <w:pPr>
        <w:spacing w:line="240" w:lineRule="auto" w:after="40" w:before="0"/>
        <w:jc w:val="both"/>
      </w:pPr>
      <w:r>
        <w:rPr>
          <w:rFonts w:ascii="Times New Roman" w:hAnsi="Times New Roman" w:cs="Times New Roman" w:eastAsia="Times New Roman"/>
          <w:b w:val="0"/>
          <w:i w:val="0"/>
          <w:sz w:val="22"/>
        </w:rPr>
        <w:t>[5] “Predicting student performance: A comprehensive review of machine learning, deep learning, and explainable AI approaches,” Computers and Education: Artificial Intelligence, 2026, doi: 10.1016/j.caeai.2026.100396.</w:t>
      </w:r>
    </w:p>
    <w:p>
      <w:pPr>
        <w:spacing w:line="240" w:lineRule="auto" w:after="40" w:before="0"/>
        <w:jc w:val="both"/>
      </w:pPr>
      <w:r>
        <w:rPr>
          <w:rFonts w:ascii="Times New Roman" w:hAnsi="Times New Roman" w:cs="Times New Roman" w:eastAsia="Times New Roman"/>
          <w:b w:val="0"/>
          <w:i w:val="0"/>
          <w:sz w:val="22"/>
        </w:rPr>
        <w:t>[6] “An explainable AI-based approach for predicting undergraduate students' academic performance,” Computers and Education: Artificial Intelligence, 2025, doi: 10.1016/j.caeai.2025.100376.</w:t>
      </w:r>
    </w:p>
    <w:p>
      <w:pPr>
        <w:spacing w:line="240" w:lineRule="auto" w:after="40" w:before="0"/>
        <w:jc w:val="both"/>
      </w:pPr>
      <w:r>
        <w:rPr>
          <w:rFonts w:ascii="Times New Roman" w:hAnsi="Times New Roman" w:cs="Times New Roman" w:eastAsia="Times New Roman"/>
          <w:b w:val="0"/>
          <w:i w:val="0"/>
          <w:sz w:val="22"/>
        </w:rPr>
        <w:t>[7] “Machine learning models for academic performance prediction: interpretability and application in educational decision-making,” Frontiers in Education, vol. 10, art. 1632315, 2025, doi: 10.3389/feduc.2025.1632315.</w:t>
      </w:r>
    </w:p>
    <w:p>
      <w:pPr>
        <w:spacing w:line="240" w:lineRule="auto" w:after="40" w:before="0"/>
        <w:jc w:val="both"/>
      </w:pPr>
      <w:r>
        <w:rPr>
          <w:rFonts w:ascii="Times New Roman" w:hAnsi="Times New Roman" w:cs="Times New Roman" w:eastAsia="Times New Roman"/>
          <w:b w:val="0"/>
          <w:i w:val="0"/>
          <w:sz w:val="22"/>
        </w:rPr>
        <w:t>[8] “Digital Twins and Artificial Intelligence as Pillars of Personalized Learning Models,” Communications of the ACM, vol. 65, no. 4, 2022, doi: 10.1145/3478281.</w:t>
      </w:r>
    </w:p>
    <w:p>
      <w:pPr>
        <w:spacing w:line="240" w:lineRule="auto" w:after="40" w:before="0"/>
        <w:jc w:val="both"/>
      </w:pPr>
      <w:r>
        <w:rPr>
          <w:rFonts w:ascii="Times New Roman" w:hAnsi="Times New Roman" w:cs="Times New Roman" w:eastAsia="Times New Roman"/>
          <w:b w:val="0"/>
          <w:i w:val="0"/>
          <w:sz w:val="22"/>
        </w:rPr>
        <w:t>[9] S. M. Lundberg and S.-I. Lee, “A unified approach to interpreting model predictions,” in Advances in Neural Information Processing Systems (NeurIPS), 2017, pp. 4765–4774.</w:t>
      </w:r>
    </w:p>
    <w:p>
      <w:pPr>
        <w:spacing w:line="240" w:lineRule="auto" w:after="40" w:before="0"/>
        <w:jc w:val="both"/>
      </w:pPr>
      <w:r>
        <w:rPr>
          <w:rFonts w:ascii="Times New Roman" w:hAnsi="Times New Roman" w:cs="Times New Roman" w:eastAsia="Times New Roman"/>
          <w:b w:val="0"/>
          <w:i w:val="0"/>
          <w:sz w:val="22"/>
        </w:rPr>
        <w:t>[10] L. Breiman, “Random forests,” Machine Learning, vol. 45, no. 1, pp. 5–32, 2001, doi: 10.1023/A:1010933404324.</w:t>
      </w:r>
    </w:p>
    <w:p>
      <w:pPr>
        <w:spacing w:line="240" w:lineRule="auto" w:after="40" w:before="0"/>
        <w:jc w:val="both"/>
      </w:pPr>
      <w:r>
        <w:rPr>
          <w:rFonts w:ascii="Times New Roman" w:hAnsi="Times New Roman" w:cs="Times New Roman" w:eastAsia="Times New Roman"/>
          <w:b w:val="0"/>
          <w:i w:val="0"/>
          <w:sz w:val="22"/>
        </w:rPr>
        <w:t>[11] J. H. Friedman, “Greedy function approximation: a gradient boosting machine,” Annals of Statistics, vol. 29, no. 5, pp. 1189–1232, 2001.</w:t>
      </w:r>
    </w:p>
    <w:p>
      <w:pPr>
        <w:spacing w:line="240" w:lineRule="auto" w:after="40" w:before="0"/>
        <w:jc w:val="both"/>
      </w:pPr>
      <w:r>
        <w:rPr>
          <w:rFonts w:ascii="Times New Roman" w:hAnsi="Times New Roman" w:cs="Times New Roman" w:eastAsia="Times New Roman"/>
          <w:b w:val="0"/>
          <w:i w:val="0"/>
          <w:sz w:val="22"/>
        </w:rPr>
        <w:t>[12] I. E. Kumar, S. Venkatasubramanian, C. Scheidegger, and S. Friedler, “Problems with Shapley-value-based explanations as feature importance measures,” in Proc. 37th Int. Conf. Machine Learning (ICML), 2020, pp. 5491–5500.</w:t>
      </w:r>
    </w:p>
    <w:p>
      <w:pPr>
        <w:spacing w:line="240" w:lineRule="auto" w:after="40" w:before="0"/>
        <w:jc w:val="both"/>
      </w:pPr>
      <w:r>
        <w:rPr>
          <w:rFonts w:ascii="Times New Roman" w:hAnsi="Times New Roman" w:cs="Times New Roman" w:eastAsia="Times New Roman"/>
          <w:b w:val="0"/>
          <w:i w:val="0"/>
          <w:sz w:val="22"/>
        </w:rPr>
        <w:t>[13] D. Slack, S. Hilgard, E. Jia, S. Singh, and H. Lakkaraju, “Fooling LIME and SHAP: Adversarial attacks on post hoc explanation methods,” in Proc. AAAI/ACM Conf. AI, Ethics, and Society (AIES), 2020, pp. 180–186.</w:t>
      </w:r>
    </w:p>
    <w:p>
      <w:pPr>
        <w:spacing w:line="240" w:lineRule="auto" w:after="80" w:before="200"/>
        <w:jc w:val="left"/>
      </w:pPr>
      <w:r>
        <w:rPr>
          <w:rFonts w:ascii="Times New Roman" w:hAnsi="Times New Roman" w:cs="Times New Roman" w:eastAsia="Times New Roman"/>
          <w:b/>
          <w:i w:val="0"/>
          <w:sz w:val="24"/>
        </w:rPr>
        <w:t>Author details (in two languages other than the language of the article)</w:t>
      </w:r>
    </w:p>
    <w:p>
      <w:pPr>
        <w:spacing w:line="240" w:lineRule="auto" w:after="120" w:before="0"/>
        <w:ind w:firstLine="567"/>
        <w:jc w:val="both"/>
      </w:pPr>
      <w:r>
        <w:rPr>
          <w:rFonts w:ascii="Times New Roman" w:hAnsi="Times New Roman" w:cs="Times New Roman" w:eastAsia="Times New Roman"/>
          <w:b w:val="0"/>
          <w:i w:val="0"/>
          <w:sz w:val="24"/>
        </w:rPr>
        <w:t>Per the journal requirement, the following block provides — in Russian and Kazakh — full author details plus the article title, abstract, and keywords. The English versions appear at the top of the article.</w:t>
      </w:r>
    </w:p>
    <w:p>
      <w:pPr>
        <w:spacing w:line="240" w:lineRule="auto" w:after="80" w:before="200"/>
        <w:jc w:val="left"/>
      </w:pPr>
      <w:r>
        <w:rPr>
          <w:rFonts w:ascii="Times New Roman" w:hAnsi="Times New Roman" w:cs="Times New Roman" w:eastAsia="Times New Roman"/>
          <w:b/>
          <w:i/>
          <w:sz w:val="24"/>
        </w:rPr>
        <w:t>На русском языке</w:t>
      </w:r>
    </w:p>
    <w:p>
      <w:pPr>
        <w:spacing w:line="240" w:lineRule="auto" w:after="120" w:before="0"/>
        <w:ind w:firstLine="567"/>
        <w:jc w:val="both"/>
      </w:pPr>
      <w:r>
        <w:rPr>
          <w:rFonts w:ascii="Times New Roman" w:hAnsi="Times New Roman" w:cs="Times New Roman" w:eastAsia="Times New Roman"/>
          <w:b/>
          <w:i w:val="0"/>
          <w:sz w:val="24"/>
        </w:rPr>
        <w:t xml:space="preserve">Талгат А. </w:t>
      </w:r>
      <w:r>
        <w:rPr>
          <w:rFonts w:ascii="Times New Roman" w:hAnsi="Times New Roman" w:cs="Times New Roman" w:eastAsia="Times New Roman"/>
          <w:b w:val="0"/>
          <w:i w:val="0"/>
          <w:sz w:val="24"/>
        </w:rPr>
        <w:t>— студент-исследователь, Школа программной инженерии, Astana IT University, Астана, Казахстан. E-mail: a1byn.talgat05@gmail.com</w:t>
      </w:r>
    </w:p>
    <w:p>
      <w:pPr>
        <w:spacing w:line="240" w:lineRule="auto" w:after="120" w:before="0"/>
        <w:ind w:firstLine="567"/>
        <w:jc w:val="both"/>
      </w:pPr>
      <w:r>
        <w:rPr>
          <w:rFonts w:ascii="Times New Roman" w:hAnsi="Times New Roman" w:cs="Times New Roman" w:eastAsia="Times New Roman"/>
          <w:b/>
          <w:i w:val="0"/>
          <w:sz w:val="24"/>
        </w:rPr>
        <w:t xml:space="preserve">Название статьи: </w:t>
      </w:r>
      <w:r>
        <w:rPr>
          <w:rFonts w:ascii="Times New Roman" w:hAnsi="Times New Roman" w:cs="Times New Roman" w:eastAsia="Times New Roman"/>
          <w:b w:val="0"/>
          <w:i w:val="0"/>
          <w:sz w:val="24"/>
        </w:rPr>
        <w:t>Помогает ли богатство признаков? Воспроизводимая и честная оценка цифрового двойника студента и устойчивости его объяснений в двух учреждениях.</w:t>
      </w:r>
    </w:p>
    <w:p>
      <w:pPr>
        <w:spacing w:line="240" w:lineRule="auto" w:after="120" w:before="0"/>
        <w:ind w:firstLine="567"/>
        <w:jc w:val="both"/>
      </w:pPr>
      <w:r>
        <w:rPr>
          <w:rFonts w:ascii="Times New Roman" w:hAnsi="Times New Roman" w:cs="Times New Roman" w:eastAsia="Times New Roman"/>
          <w:b/>
          <w:i w:val="0"/>
          <w:sz w:val="24"/>
        </w:rPr>
        <w:t xml:space="preserve">Аннотация: </w:t>
      </w:r>
      <w:r>
        <w:rPr>
          <w:rFonts w:ascii="Times New Roman" w:hAnsi="Times New Roman" w:cs="Times New Roman" w:eastAsia="Times New Roman"/>
          <w:b w:val="0"/>
          <w:i w:val="0"/>
          <w:sz w:val="24"/>
        </w:rPr>
        <w:t>Системы управления обучением фиксируют большие объёмы учебной активности, однако их встроенная аналитика преимущественно описательна, а не прогнозна. Цель исследования — проверить, а не предполагать, улучшают ли инженерные признаки цифрового двойника студента прогноз оценки по сравнению с компетентной базовой LMS-моделью и достаточно ли устойчивы объяснения, чтобы показывать их преподавателю. Методология — управляемая зависимостями последовательность зафиксированных, защищённых от утечек экспериментов, объединяющая учитывающее время недельное представление состояния студента с прогнозирующей моделью градиентного бустинга и слоем объяснимого ИИ на основе пертурбаций, оцениваемая через вложенную абляцию признаков на открытых данных двух учреждений. Оригинальность состоит в сквозной, воспроизводимой и честной мультикогортной оценке, включая задокументированный сбой циркулярности синтетической цели. Результаты показывают, что добавление богатства признаков не помогает устойчиво: ни один блок двойника не превосходит базовую модель более чем на 1,0 RMSE на основной когорте, лишь одна межкогортная ячейка даёт прирост, а ранги объяснений зависят от режима (Kendall τ 0,32–0,79).</w:t>
      </w:r>
    </w:p>
    <w:p>
      <w:pPr>
        <w:spacing w:line="240" w:lineRule="auto" w:after="120" w:before="0"/>
        <w:ind w:firstLine="567"/>
        <w:jc w:val="both"/>
      </w:pPr>
      <w:r>
        <w:rPr>
          <w:rFonts w:ascii="Times New Roman" w:hAnsi="Times New Roman" w:cs="Times New Roman" w:eastAsia="Times New Roman"/>
          <w:b/>
          <w:i w:val="0"/>
          <w:sz w:val="24"/>
        </w:rPr>
        <w:t xml:space="preserve">Ключевые слова: </w:t>
      </w:r>
      <w:r>
        <w:rPr>
          <w:rFonts w:ascii="Times New Roman" w:hAnsi="Times New Roman" w:cs="Times New Roman" w:eastAsia="Times New Roman"/>
          <w:b w:val="0"/>
          <w:i w:val="0"/>
          <w:sz w:val="24"/>
        </w:rPr>
        <w:t>учебная аналитика; объяснимый ИИ; устойчивость объяснений; прогнозирование успеваемости; цифровой двойник; градиентный бустинг; воспроизводимость</w:t>
      </w:r>
    </w:p>
    <w:p>
      <w:pPr>
        <w:spacing w:line="240" w:lineRule="auto" w:after="80" w:before="200"/>
        <w:jc w:val="left"/>
      </w:pPr>
      <w:r>
        <w:rPr>
          <w:rFonts w:ascii="Times New Roman" w:hAnsi="Times New Roman" w:cs="Times New Roman" w:eastAsia="Times New Roman"/>
          <w:b/>
          <w:i/>
          <w:sz w:val="24"/>
        </w:rPr>
        <w:t>Қазақ тілінде</w:t>
      </w:r>
    </w:p>
    <w:p>
      <w:pPr>
        <w:spacing w:line="240" w:lineRule="auto" w:after="120" w:before="0"/>
        <w:ind w:firstLine="567"/>
        <w:jc w:val="both"/>
      </w:pPr>
      <w:r>
        <w:rPr>
          <w:rFonts w:ascii="Times New Roman" w:hAnsi="Times New Roman" w:cs="Times New Roman" w:eastAsia="Times New Roman"/>
          <w:b/>
          <w:i w:val="0"/>
          <w:sz w:val="24"/>
        </w:rPr>
        <w:t xml:space="preserve">Талғат А. </w:t>
      </w:r>
      <w:r>
        <w:rPr>
          <w:rFonts w:ascii="Times New Roman" w:hAnsi="Times New Roman" w:cs="Times New Roman" w:eastAsia="Times New Roman"/>
          <w:b w:val="0"/>
          <w:i w:val="0"/>
          <w:sz w:val="24"/>
        </w:rPr>
        <w:t>— студент-зерттеуші, Бағдарламалық инженерия мектебі, Astana IT University, Астана, Қазақстан. E-mail: a1byn.talgat05@gmail.com</w:t>
      </w:r>
    </w:p>
    <w:p>
      <w:pPr>
        <w:spacing w:line="240" w:lineRule="auto" w:after="120" w:before="0"/>
        <w:ind w:firstLine="567"/>
        <w:jc w:val="both"/>
      </w:pPr>
      <w:r>
        <w:rPr>
          <w:rFonts w:ascii="Times New Roman" w:hAnsi="Times New Roman" w:cs="Times New Roman" w:eastAsia="Times New Roman"/>
          <w:b/>
          <w:i w:val="0"/>
          <w:sz w:val="24"/>
        </w:rPr>
        <w:t xml:space="preserve">Мақаланың атауы: </w:t>
      </w:r>
      <w:r>
        <w:rPr>
          <w:rFonts w:ascii="Times New Roman" w:hAnsi="Times New Roman" w:cs="Times New Roman" w:eastAsia="Times New Roman"/>
          <w:b w:val="0"/>
          <w:i w:val="0"/>
          <w:sz w:val="24"/>
        </w:rPr>
        <w:t>Белгілердің молдығы көмектесе ме? Студенттің цифрлық егізін және оның түсіндірмелерінің екі мекеме бойынша тұрақтылығын қайталанатын және адал бағалау.</w:t>
      </w:r>
    </w:p>
    <w:p>
      <w:pPr>
        <w:spacing w:line="240" w:lineRule="auto" w:after="120" w:before="0"/>
        <w:ind w:firstLine="567"/>
        <w:jc w:val="both"/>
      </w:pPr>
      <w:r>
        <w:rPr>
          <w:rFonts w:ascii="Times New Roman" w:hAnsi="Times New Roman" w:cs="Times New Roman" w:eastAsia="Times New Roman"/>
          <w:b/>
          <w:i w:val="0"/>
          <w:sz w:val="24"/>
        </w:rPr>
        <w:t xml:space="preserve">Түйіндеме: </w:t>
      </w:r>
      <w:r>
        <w:rPr>
          <w:rFonts w:ascii="Times New Roman" w:hAnsi="Times New Roman" w:cs="Times New Roman" w:eastAsia="Times New Roman"/>
          <w:b w:val="0"/>
          <w:i w:val="0"/>
          <w:sz w:val="24"/>
        </w:rPr>
        <w:t>Оқытуды басқару жүйелері оқу әрекетінің үлкен көлемін тіркейді, бірақ олардың кіріктірілген аналитикасы көбіне сипаттамалық, болжамдық емес сипатта болады. Зерттеудің мақсаты — студенттің цифрлық егізінің инженерлік белгілері баға болжамын құзыретті базалық LMS моделімен салыстырғанда жақсартатынын және түсіндірмелердің мұғалімге көрсетуге жеткілікті тұрақты екенін болжамай, тексеру. Әдіснама — тәуелділікке негізделген, ағып кетуден қорғалған, бекітілген эксперименттер тізбегі; ол студент күйінің уақытты ескеретін апталық көрінісін градиенттік бустинг болжаушысымен және пертурбацияға негізделген түсіндірілетін ЖИ қабатымен біріктіреді әрі екі мекеменің ашық деректерінде кірістірілген белгілер абляциясы арқылы бағаланады. Жаңалығы — ұштан-ұшқа, қайталанатын әрі адал көпкогорттық бағалауда, оның ішінде синтетикалық мақсаттың циркулярлық сәтсіздік режимін құжаттауда. Нәтижелер белгілер молдығын қосу тұрақты түрде көмектеспейтінін көрсетеді: бірде-бір егіз блогы негізгі когортта базалық модельден 1,0 RMSE-ден артық озбайды, тек бір когортаралық ұяшық өсім береді, ал түсіндірме рангтары режимге тәуелді (Kendall τ 0,32–0,79).</w:t>
      </w:r>
    </w:p>
    <w:p>
      <w:pPr>
        <w:spacing w:line="240" w:lineRule="auto" w:after="120" w:before="0"/>
        <w:ind w:firstLine="567"/>
        <w:jc w:val="both"/>
      </w:pPr>
      <w:r>
        <w:rPr>
          <w:rFonts w:ascii="Times New Roman" w:hAnsi="Times New Roman" w:cs="Times New Roman" w:eastAsia="Times New Roman"/>
          <w:b/>
          <w:i w:val="0"/>
          <w:sz w:val="24"/>
        </w:rPr>
        <w:t xml:space="preserve">Кілт сөздер: </w:t>
      </w:r>
      <w:r>
        <w:rPr>
          <w:rFonts w:ascii="Times New Roman" w:hAnsi="Times New Roman" w:cs="Times New Roman" w:eastAsia="Times New Roman"/>
          <w:b w:val="0"/>
          <w:i w:val="0"/>
          <w:sz w:val="24"/>
        </w:rPr>
        <w:t>оқу аналитикасы; түсіндірілетін ЖИ; түсіндірмелердің тұрақтылығы; үлгерімді болжау; цифрлық егіз; градиенттік бустинг; қайталанушылық</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