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A Five-Institution Benchmark for Student-Risk Models, and the Reference Points Explanation-Stability Claims Need</w:t>
      </w:r>
    </w:p>
    <w:tbl>
      <w:tblPr>
        <w:tblW w:type="auto" w:w="0"/>
        <w:tblLayout w:type="autofit"/>
        <w:tblLook w:firstColumn="1" w:firstRow="1" w:lastColumn="0" w:lastRow="0" w:noHBand="0" w:noVBand="1" w:val="04A0"/>
      </w:tblPr>
      <w:tblGrid>
        <w:gridCol w:w="5220"/>
        <w:gridCol w:w="5220"/>
      </w:tblGrid>
      <w:tr>
        <w:tc>
          <w:tcPr>
            <w:tcW w:type="dxa" w:w="5220"/>
          </w:tcPr>
          <w:p>
            <w:pPr>
              <w:spacing w:after="0"/>
              <w:jc w:val="center"/>
            </w:pPr>
            <w:r/>
            <w:r>
              <w:rPr>
                <w:rFonts w:ascii="Times New Roman" w:hAnsi="Times New Roman"/>
                <w:b w:val="0"/>
                <w:i w:val="0"/>
                <w:sz w:val="22"/>
              </w:rPr>
              <w:t>A. S. Talgatov</w:t>
            </w:r>
          </w:p>
          <w:p>
            <w:pPr>
              <w:spacing w:after="0"/>
              <w:jc w:val="center"/>
            </w:pPr>
            <w:r>
              <w:rPr>
                <w:rFonts w:ascii="Times New Roman" w:hAnsi="Times New Roman"/>
                <w:b w:val="0"/>
                <w:i/>
                <w:sz w:val="19"/>
              </w:rPr>
              <w:t>Master degree student</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0009-0006-3463-4644</w:t>
            </w:r>
          </w:p>
          <w:p>
            <w:pPr>
              <w:spacing w:after="0"/>
              <w:jc w:val="center"/>
            </w:pPr>
            <w:r>
              <w:rPr>
                <w:rFonts w:ascii="Times New Roman" w:hAnsi="Times New Roman"/>
                <w:b w:val="0"/>
                <w:i w:val="0"/>
                <w:sz w:val="19"/>
              </w:rPr>
              <w:t>a1byn.talgat05@gmail.com</w:t>
            </w:r>
          </w:p>
        </w:tc>
        <w:tc>
          <w:tcPr>
            <w:tcW w:type="dxa" w:w="5220"/>
          </w:tcPr>
          <w:p>
            <w:pPr>
              <w:spacing w:after="0"/>
              <w:jc w:val="center"/>
            </w:pPr>
            <w:r/>
            <w:r>
              <w:rPr>
                <w:rFonts w:ascii="Times New Roman" w:hAnsi="Times New Roman"/>
                <w:b w:val="0"/>
                <w:i w:val="0"/>
                <w:sz w:val="22"/>
              </w:rPr>
              <w:t>S. A. Nurgaliyeva*</w:t>
            </w:r>
          </w:p>
          <w:p>
            <w:pPr>
              <w:spacing w:after="0"/>
              <w:jc w:val="center"/>
            </w:pPr>
            <w:r>
              <w:rPr>
                <w:rFonts w:ascii="Times New Roman" w:hAnsi="Times New Roman"/>
                <w:b w:val="0"/>
                <w:i/>
                <w:sz w:val="19"/>
              </w:rPr>
              <w:t>PhD in computer science</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0009-0009-5880-6166</w:t>
            </w:r>
          </w:p>
          <w:p>
            <w:pPr>
              <w:spacing w:after="0"/>
              <w:jc w:val="center"/>
            </w:pPr>
            <w:r>
              <w:rPr>
                <w:rFonts w:ascii="Times New Roman" w:hAnsi="Times New Roman"/>
                <w:b w:val="0"/>
                <w:i w:val="0"/>
                <w:sz w:val="19"/>
              </w:rPr>
              <w:t>symbat.nurgaliyeva@astanait.edu.kz</w:t>
            </w:r>
          </w:p>
        </w:tc>
      </w:tr>
    </w:tbl>
    <w:p>
      <w:pPr>
        <w:spacing w:after="200" w:before="0" w:line="240" w:lineRule="auto"/>
      </w:pP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five learning-management platforms in four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Establishing that required reference points the original design could not supply — a noise floor of 0.706, a within-cohort reference measured under each estimator, and an analytic random baseline. Third, a single-estimator stability study reports a conclusion conditional on an undeclared choice: measuring how much a year of retraining costs a feature ranking gives τ 0.256 under permutation importance and 0.508 under SHAP, while the cost itself is the same under both, 0.089 and 0.083, so the estimator moves the reported level by three times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 Three of our own candidate methods were discarded when controls showed they did not beat far simpler alternatives; those controls are in Section V-D because they bound how the rest should be read.</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five platforms, four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not the question but a harmonised, multi-platform corpus another group can run against. That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five platforms</w:t>
      </w:r>
    </w:p>
    <w:p>
      <w:pPr>
        <w:spacing w:after="80" w:before="0" w:line="240" w:lineRule="auto"/>
        <w:ind w:firstLine="288"/>
      </w:pPr>
      <w:r>
        <w:rPr>
          <w:rFonts w:ascii="Times New Roman" w:hAnsi="Times New Roman"/>
          <w:b w:val="0"/>
          <w:i w:val="0"/>
          <w:sz w:val="20"/>
        </w:rPr>
        <w:t>Table I summarises the corpus.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Outcome definitions differ across institutions and are perfectly collinear with institution, so no analysis here separates a label effect from an institution effect; OULAD in particular counts withdrawal as failure, which a clickstream predicts almost by construction.</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and within-cohort discrimination per institution. Pass rate is the share of a cohort's students recorded as passing, shown as the range over that institution's cohorts; the AUC column is the mean over them. Within-cohort ROC-AUC is 5-fold cross-validated gradient boosting on the shared seven-feature schema.</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5 platforms</w:t>
            </w:r>
          </w:p>
        </w:tc>
        <w:tc>
          <w:tcPr>
            <w:tcW w:type="dxa" w:w="1491"/>
          </w:tcPr>
          <w:p>
            <w:pPr>
              <w:spacing w:after="0"/>
            </w:pPr>
            <w:r/>
            <w:r>
              <w:rPr>
                <w:rFonts w:ascii="Times New Roman" w:hAnsi="Times New Roman"/>
                <w:b w:val="0"/>
                <w:i w:val="0"/>
                <w:sz w:val="16"/>
              </w:rPr>
              <w:t>4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Nothing is tuned per cohort: the object of study is what an ordinary model does.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1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accounts for 57.3 % of the variance in cohort AUC, as the between-group share of the total sum of squares in a one-way analysis of variance over the five institutions.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40" w:before="0" w:line="240" w:lineRule="auto"/>
        <w:jc w:val="center"/>
      </w:pPr>
      <w:r>
        <w:drawing>
          <wp:inline xmlns:a="http://schemas.openxmlformats.org/drawingml/2006/main" xmlns:pic="http://schemas.openxmlformats.org/drawingml/2006/picture">
            <wp:extent cx="3017520" cy="2568363"/>
            <wp:docPr id="1" name="Picture 1"/>
            <wp:cNvGraphicFramePr>
              <a:graphicFrameLocks noChangeAspect="1"/>
            </wp:cNvGraphicFramePr>
            <a:graphic>
              <a:graphicData uri="http://schemas.openxmlformats.org/drawingml/2006/picture">
                <pic:pic>
                  <pic:nvPicPr>
                    <pic:cNvPr id="0" name="fig2_cohort_spread.png"/>
                    <pic:cNvPicPr/>
                  </pic:nvPicPr>
                  <pic:blipFill>
                    <a:blip r:embed="rId9"/>
                    <a:stretch>
                      <a:fillRect/>
                    </a:stretch>
                  </pic:blipFill>
                  <pic:spPr>
                    <a:xfrm>
                      <a:off x="0" y="0"/>
                      <a:ext cx="3017520" cy="2568363"/>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Within-cohort ROC-AUC for every cohort, sorted, with 400-resample bootstrap intervals over students; colour marks the institution. Institution accounts for 57.3 % of the variance, but not cleanly: cohort size correlates 0.669 with AUC and is itself collinear with institution.</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2 places every comparison in this paper on one axis. Two models differing only in which half of one cohort they saw agree at τ 0.338 under permutation importance. That is the most such a comparison attains under that estimator, and it is far below what a teacher-facing factor list implicitly promises. The noise floor of 0.706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permutation and drop-column at 0.259, SHAP and drop-column at 0.127. Taken bare, the two low numbers look like the conclusion of Swamy et al. [8] — that the explainer is a first-order determinant of the resulting factor list — now on 63 cohorts across five institutions and three model families rather than five MOOCs and one network.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 lower than its agreement with permutation on identical data, and against 0.592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448997"/>
            <wp:docPr id="2" name="Picture 2"/>
            <wp:cNvGraphicFramePr>
              <a:graphicFrameLocks noChangeAspect="1"/>
            </wp:cNvGraphicFramePr>
            <a:graphic>
              <a:graphicData uri="http://schemas.openxmlformats.org/drawingml/2006/picture">
                <pic:pic>
                  <pic:nvPicPr>
                    <pic:cNvPr id="0" name="fig1_explanation_instability.png"/>
                    <pic:cNvPicPr/>
                  </pic:nvPicPr>
                  <pic:blipFill>
                    <a:blip r:embed="rId10"/>
                    <a:stretch>
                      <a:fillRect/>
                    </a:stretch>
                  </pic:blipFill>
                  <pic:spPr>
                    <a:xfrm>
                      <a:off x="0" y="0"/>
                      <a:ext cx="3017520" cy="1448997"/>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Every agreement comparison in this paper on one scale, with its bounds; colour marks what differed between the two rankings. The floor and ceiling bars are measured under permutation importance and carry its scale, so a bar above them is not above a universal ceiling; each estimator's own reference is in Table II. Starred bars involve drop-column, degenerate here — 3.2 of 7 features receive zero or negative importance, self-agreement 0.173.</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one cohort under two different splits, SHAP reproduces itself at τ 0.592 and permutation importance at 0.345. Against those references, a year of retraining costs 0.083 under SHAP and 0.089 under permutation: the same effect to within 0.006. The level at which that effect is reported differs by 0.252, roughly three times the effect itself. Fig. 2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The same question, three estimators, on identical models and evaluation sets: 78 course-year pairs, three splits each. The third column is the answer a study would report; the fourth is the effect it is trying to measure, differenced before rounding. ^{*}Drop-column is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w:t>
            </w:r>
          </w:p>
        </w:tc>
        <w:tc>
          <w:tcPr>
            <w:tcW w:type="dxa" w:w="2610"/>
          </w:tcPr>
          <w:p>
            <w:pPr>
              <w:spacing w:after="0"/>
            </w:pPr>
            <w:r>
              <w:rPr>
                <w:b/>
              </w:rPr>
            </w:r>
            <w:r>
              <w:rPr>
                <w:rFonts w:ascii="Times New Roman" w:hAnsi="Times New Roman"/>
                <w:b/>
                <w:i w:val="0"/>
                <w:sz w:val="16"/>
              </w:rPr>
              <w:t>Next year's</w:t>
            </w:r>
          </w:p>
        </w:tc>
        <w:tc>
          <w:tcPr>
            <w:tcW w:type="dxa" w:w="2610"/>
          </w:tcPr>
          <w:p>
            <w:pPr>
              <w:spacing w:after="0"/>
            </w:pPr>
            <w:r>
              <w:rPr>
                <w:b/>
              </w:rPr>
            </w:r>
            <w:r>
              <w:rPr>
                <w:rFonts w:ascii="Times New Roman" w:hAnsi="Times New Roman"/>
                <w:b/>
                <w:i w:val="0"/>
                <w:sz w:val="16"/>
              </w:rPr>
              <w:t>Cost of</w:t>
            </w:r>
          </w:p>
        </w:tc>
      </w:tr>
      <w:tr>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another split</w:t>
            </w:r>
          </w:p>
        </w:tc>
        <w:tc>
          <w:tcPr>
            <w:tcW w:type="dxa" w:w="2610"/>
          </w:tcPr>
          <w:p>
            <w:pPr>
              <w:spacing w:after="0"/>
            </w:pPr>
            <w:r/>
            <w:r>
              <w:rPr>
                <w:rFonts w:ascii="Times New Roman" w:hAnsi="Times New Roman"/>
                <w:b w:val="0"/>
                <w:i w:val="0"/>
                <w:sz w:val="16"/>
              </w:rPr>
              <w:t>students</w:t>
            </w:r>
          </w:p>
        </w:tc>
        <w:tc>
          <w:tcPr>
            <w:tcW w:type="dxa" w:w="2610"/>
          </w:tcPr>
          <w:p>
            <w:pPr>
              <w:spacing w:after="0"/>
            </w:pPr>
            <w:r/>
            <w:r>
              <w:rPr>
                <w:rFonts w:ascii="Times New Roman" w:hAnsi="Times New Roman"/>
                <w:b w:val="0"/>
                <w:i w:val="0"/>
                <w:sz w:val="16"/>
              </w:rPr>
              <w:t>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0.592</w:t>
            </w:r>
          </w:p>
        </w:tc>
        <w:tc>
          <w:tcPr>
            <w:tcW w:type="dxa" w:w="2610"/>
          </w:tcPr>
          <w:p>
            <w:pPr>
              <w:spacing w:after="0"/>
            </w:pPr>
            <w:r/>
            <w:r>
              <w:rPr>
                <w:rFonts w:ascii="Times New Roman" w:hAnsi="Times New Roman"/>
                <w:b w:val="0"/>
                <w:i w:val="0"/>
                <w:sz w:val="16"/>
              </w:rPr>
              <w:t>0.508</w:t>
            </w:r>
          </w:p>
        </w:tc>
        <w:tc>
          <w:tcPr>
            <w:tcW w:type="dxa" w:w="2610"/>
          </w:tcPr>
          <w:p>
            <w:pPr>
              <w:spacing w:after="0"/>
            </w:pPr>
            <w:r/>
            <w:r>
              <w:rPr>
                <w:rFonts w:ascii="Times New Roman" w:hAnsi="Times New Roman"/>
                <w:b w:val="0"/>
                <w:i w:val="0"/>
                <w:sz w:val="16"/>
              </w:rPr>
              <w:t>0.083</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0.345</w:t>
            </w:r>
          </w:p>
        </w:tc>
        <w:tc>
          <w:tcPr>
            <w:tcW w:type="dxa" w:w="2610"/>
          </w:tcPr>
          <w:p>
            <w:pPr>
              <w:spacing w:after="0"/>
            </w:pPr>
            <w:r/>
            <w:r>
              <w:rPr>
                <w:rFonts w:ascii="Times New Roman" w:hAnsi="Times New Roman"/>
                <w:b w:val="0"/>
                <w:i w:val="0"/>
                <w:sz w:val="16"/>
              </w:rPr>
              <w:t>0.256</w:t>
            </w:r>
          </w:p>
        </w:tc>
        <w:tc>
          <w:tcPr>
            <w:tcW w:type="dxa" w:w="2610"/>
          </w:tcPr>
          <w:p>
            <w:pPr>
              <w:spacing w:after="0"/>
            </w:pPr>
            <w:r/>
            <w:r>
              <w:rPr>
                <w:rFonts w:ascii="Times New Roman" w:hAnsi="Times New Roman"/>
                <w:b w:val="0"/>
                <w:i w:val="0"/>
                <w:sz w:val="16"/>
              </w:rPr>
              <w:t>0.089</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0.173</w:t>
            </w:r>
          </w:p>
        </w:tc>
        <w:tc>
          <w:tcPr>
            <w:tcW w:type="dxa" w:w="2610"/>
          </w:tcPr>
          <w:p>
            <w:pPr>
              <w:spacing w:after="0"/>
            </w:pPr>
            <w:r/>
            <w:r>
              <w:rPr>
                <w:rFonts w:ascii="Times New Roman" w:hAnsi="Times New Roman"/>
                <w:b w:val="0"/>
                <w:i w:val="0"/>
                <w:sz w:val="16"/>
              </w:rPr>
              <w:t>0.055</w:t>
            </w:r>
          </w:p>
        </w:tc>
        <w:tc>
          <w:tcPr>
            <w:tcW w:type="dxa" w:w="2610"/>
          </w:tcPr>
          <w:p>
            <w:pPr>
              <w:spacing w:after="0"/>
            </w:pPr>
            <w:r/>
            <w:r>
              <w:rPr>
                <w:rFonts w:ascii="Times New Roman" w:hAnsi="Times New Roman"/>
                <w:b w:val="0"/>
                <w:i w:val="0"/>
                <w:sz w:val="16"/>
              </w:rPr>
              <w:t>0.118</w:t>
            </w:r>
          </w:p>
        </w:tc>
      </w:tr>
      <w:tr>
        <w:tc>
          <w:tcPr>
            <w:tcW w:type="dxa" w:w="2610"/>
          </w:tcPr>
          <w:p>
            <w:pPr>
              <w:spacing w:after="0"/>
            </w:pPr>
            <w:r/>
            <w:r>
              <w:rPr>
                <w:rFonts w:ascii="Times New Roman" w:hAnsi="Times New Roman"/>
                <w:b w:val="0"/>
                <w:i w:val="0"/>
                <w:sz w:val="16"/>
              </w:rPr>
              <w:t>Spread from the estimator choice</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w:t>
            </w:r>
          </w:p>
        </w:tc>
      </w:tr>
      <w:tr>
        <w:tc>
          <w:tcPr>
            <w:tcW w:type="dxa" w:w="2610"/>
          </w:tcPr>
          <w:p>
            <w:pPr>
              <w:spacing w:after="0"/>
            </w:pPr>
            <w:r/>
            <w:r>
              <w:rPr>
                <w:rFonts w:ascii="Times New Roman" w:hAnsi="Times New Roman"/>
                <w:b w:val="0"/>
                <w:i w:val="0"/>
                <w:sz w:val="16"/>
              </w:rPr>
              <w:t>Effect being measured</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0.086</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five platforms and report the same reference points we do. That is a modest contribution and a real one, since the difficulty visible in Section V-A — results describe datasets — has no remedy but more datasets in one place.</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 Section V-C is the part we believe is new and the part practitioners should act on: a stability number without a declared estimator, and without what that estimator scores when nothing has changed, is not interpretable, and the literature currently reports such numbers routinely.</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Three estimators are not exhaustive.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Zambia contributes two small cohorts whose intervals cover chance. Bootstrap intervals resample pairs that share target cohorts and are narrower than fully clustered intervals; the estimator spread in Section V-C is reported without a significance test and rests on 78 course-year pairs, three splits each, from six course families.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five platforms and four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by three times the effect under study when the estimator changes.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do not redistribute the underlying student data: each source is published by its own institution under its own licence, and the adapters read those releases in place. Everything named here is at &lt;repository URL&gt;.</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We did not inspect it and cannot say whether those names are real; our adapter never reads it and joins on the hashed identifier alone.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