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blind-nulling实现方法"/>
    <w:p>
      <w:pPr>
        <w:pStyle w:val="Heading1"/>
        <w:ind w:firstLine="0"/>
      </w:pPr>
      <w:r>
        <w:rPr>
          <w:rFonts w:ascii="Times New Roman" w:hAnsi="Times New Roman" w:eastAsia="宋体"/>
          <w:color w:val="000000"/>
        </w:rPr>
        <w:t xml:space="preserve">Blind Nulling实现方法</w:t>
      </w:r>
    </w:p>
    <w:p>
      <w:pPr>
        <w:pStyle w:val="FirstParagraph"/>
        <w:spacing w:before="0" w:after="0" w:line="360" w:lineRule="auto"/>
        <w:ind w:firstLine="480"/>
        <w:jc w:val="both"/>
      </w:pPr>
      <w:r>
        <w:t xml:space="preserve">Blind Nulling不依赖预先已知的干扰来向，而是直接利用多通道采样数据估计主导干扰在各通道上的复幅度关系，并据此构造零陷权值。实现过程主要包括协方差估计、干扰检测、干扰空间向量估计以及零陷合并四个步骤。</w:t>
      </w:r>
    </w:p>
    <w:p>
      <w:pPr>
        <w:pStyle w:val="BodyText"/>
        <w:spacing w:before="0" w:after="0" w:line="360" w:lineRule="auto"/>
        <w:ind w:firstLine="480"/>
        <w:jc w:val="both"/>
      </w:pPr>
      <w:r>
        <w:t xml:space="preserve">设接收机具有</w:t>
      </w:r>
      <w:r>
        <w:t xml:space="preserve"> </w:t>
      </w:r>
      <m:oMath>
        <m:r>
          <m:t>M</m:t>
        </m:r>
      </m:oMath>
      <w:r>
        <w:t xml:space="preserve"> </w:t>
      </w:r>
      <w:r>
        <w:t xml:space="preserve">个天线通道，每个处理块包含</w:t>
      </w:r>
      <w:r>
        <w:t xml:space="preserve"> </w:t>
      </w:r>
      <m:oMath>
        <m:r>
          <m:t>N</m:t>
        </m:r>
      </m:oMath>
      <w:r>
        <w:t xml:space="preserve"> </w:t>
      </w:r>
      <w:r>
        <w:t xml:space="preserve">个复数采样点，多通道输入表示为</w:t>
      </w:r>
    </w:p>
    <w:p>
      <w:pPr>
        <w:pStyle w:val="BodyText"/>
      </w:pPr>
      <m:oMathPara>
        <m:oMathParaPr>
          <m:jc m:val="center"/>
        </m:oMathParaPr>
        <m:oMath>
          <m:r>
            <m:rPr>
              <m:sty m:val="b"/>
            </m:rPr>
            <m:t>X</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rPr>
                        <m:sty m:val="b"/>
                      </m:rPr>
                      <m:t>x</m:t>
                    </m:r>
                    <m:d>
                      <m:dPr>
                        <m:begChr m:val="["/>
                        <m:endChr m:val="]"/>
                        <m:sepChr m:val=""/>
                        <m:grow/>
                      </m:dPr>
                      <m:e>
                        <m:r>
                          <m:t>1</m:t>
                        </m:r>
                      </m:e>
                    </m:d>
                  </m:e>
                  <m:e>
                    <m:r>
                      <m:rPr>
                        <m:sty m:val="b"/>
                      </m:rPr>
                      <m:t>x</m:t>
                    </m:r>
                    <m:d>
                      <m:dPr>
                        <m:begChr m:val="["/>
                        <m:endChr m:val="]"/>
                        <m:sepChr m:val=""/>
                        <m:grow/>
                      </m:dPr>
                      <m:e>
                        <m:r>
                          <m:t>2</m:t>
                        </m:r>
                      </m:e>
                    </m:d>
                  </m:e>
                  <m:e>
                    <m:r>
                      <m:rPr>
                        <m:sty m:val="p"/>
                      </m:rPr>
                      <m:t>⋯</m:t>
                    </m:r>
                  </m:e>
                  <m:e>
                    <m:r>
                      <m:rPr>
                        <m:sty m:val="b"/>
                      </m:rPr>
                      <m:t>x</m:t>
                    </m:r>
                    <m:d>
                      <m:dPr>
                        <m:begChr m:val="["/>
                        <m:endChr m:val="]"/>
                        <m:sepChr m:val=""/>
                        <m:grow/>
                      </m:dPr>
                      <m:e>
                        <m:r>
                          <m:t>N</m:t>
                        </m:r>
                      </m:e>
                    </m:d>
                  </m:e>
                </m:mr>
              </m:m>
            </m:e>
          </m:d>
          <m:r>
            <m:rPr>
              <m:sty m:val="p"/>
            </m:rPr>
            <m:t>∈</m:t>
          </m:r>
          <m:sSup>
            <m:e>
              <m:r>
                <m:rPr>
                  <m:sty m:val="p"/>
                  <m:scr m:val="double-struck"/>
                </m:rPr>
                <m:t>C</m:t>
              </m:r>
            </m:e>
            <m:sup>
              <m:r>
                <m:t>M</m:t>
              </m:r>
              <m:r>
                <m:rPr>
                  <m:sty m:val="p"/>
                </m:rPr>
                <m:t>×</m:t>
              </m:r>
              <m:r>
                <m:t>N</m:t>
              </m:r>
            </m:sup>
          </m:sSup>
          <m:r>
            <m:rPr>
              <m:sty m:val="p"/>
            </m:rPr>
            <m:t>.</m:t>
          </m:r>
        </m:oMath>
      </m:oMathPara>
    </w:p>
    <w:p>
      <w:pPr>
        <w:pStyle w:val="FirstParagraph"/>
        <w:spacing w:before="0" w:after="0" w:line="360" w:lineRule="auto"/>
        <w:ind w:firstLine="480"/>
        <w:jc w:val="both"/>
      </w:pPr>
      <w:r>
        <w:t xml:space="preserve">对于单个主导干扰源，可将接收信号简化表示为</w:t>
      </w:r>
    </w:p>
    <w:p>
      <w:pPr>
        <w:pStyle w:val="BodyText"/>
      </w:pPr>
      <m:oMathPara>
        <m:oMathParaPr>
          <m:jc m:val="center"/>
        </m:oMathParaPr>
        <m:oMath>
          <m:r>
            <m:rPr>
              <m:sty m:val="b"/>
            </m:rPr>
            <m:t>x</m:t>
          </m:r>
          <m:d>
            <m:dPr>
              <m:begChr m:val="["/>
              <m:endChr m:val="]"/>
              <m:sepChr m:val=""/>
              <m:grow/>
            </m:dPr>
            <m:e>
              <m:r>
                <m:t>n</m:t>
              </m:r>
            </m:e>
          </m:d>
          <m:r>
            <m:rPr>
              <m:sty m:val="p"/>
            </m:rPr>
            <m:t>=</m:t>
          </m:r>
          <m:sSub>
            <m:e>
              <m:r>
                <m:rPr>
                  <m:sty m:val="b"/>
                </m:rPr>
                <m:t>a</m:t>
              </m:r>
            </m:e>
            <m:sub>
              <m:r>
                <m:t>J</m:t>
              </m:r>
            </m:sub>
          </m:sSub>
          <m:r>
            <m:t>j</m:t>
          </m:r>
          <m:d>
            <m:dPr>
              <m:begChr m:val="["/>
              <m:endChr m:val="]"/>
              <m:sepChr m:val=""/>
              <m:grow/>
            </m:dPr>
            <m:e>
              <m:r>
                <m:t>n</m:t>
              </m:r>
            </m:e>
          </m:d>
          <m:r>
            <m:rPr>
              <m:sty m:val="p"/>
            </m:rPr>
            <m:t>+</m:t>
          </m:r>
          <m:r>
            <m:rPr>
              <m:sty m:val="b"/>
            </m:rPr>
            <m:t>s</m:t>
          </m:r>
          <m:d>
            <m:dPr>
              <m:begChr m:val="["/>
              <m:endChr m:val="]"/>
              <m:sepChr m:val=""/>
              <m:grow/>
            </m:dPr>
            <m:e>
              <m:r>
                <m:t>n</m:t>
              </m:r>
            </m:e>
          </m:d>
          <m:r>
            <m:rPr>
              <m:sty m:val="p"/>
            </m:rPr>
            <m:t>+</m:t>
          </m:r>
          <m:r>
            <m:rPr>
              <m:sty m:val="b"/>
            </m:rPr>
            <m:t>n</m:t>
          </m:r>
          <m:d>
            <m:dPr>
              <m:begChr m:val="["/>
              <m:endChr m:val="]"/>
              <m:sepChr m:val=""/>
              <m:grow/>
            </m:dPr>
            <m:e>
              <m:r>
                <m:t>n</m:t>
              </m:r>
            </m:e>
          </m:d>
          <m:r>
            <m:rPr>
              <m:sty m:val="p"/>
            </m:rPr>
            <m:t>,</m:t>
          </m:r>
        </m:oMath>
      </m:oMathPara>
    </w:p>
    <w:p>
      <w:pPr>
        <w:pStyle w:val="FirstParagraph"/>
        <w:spacing w:before="0" w:after="0" w:line="360" w:lineRule="auto"/>
        <w:ind w:firstLine="480"/>
        <w:jc w:val="both"/>
      </w:pPr>
      <w:r>
        <w:t xml:space="preserve">其中</w:t>
      </w:r>
      <w:r>
        <w:t xml:space="preserve"> </w:t>
      </w:r>
      <m:oMath>
        <m:sSub>
          <m:e>
            <m:r>
              <m:rPr>
                <m:sty m:val="b"/>
              </m:rPr>
              <m:t>a</m:t>
            </m:r>
          </m:e>
          <m:sub>
            <m:r>
              <m:t>J</m:t>
            </m:r>
          </m:sub>
        </m:sSub>
      </m:oMath>
      <w:r>
        <w:t xml:space="preserve"> </w:t>
      </w:r>
      <w:r>
        <w:t xml:space="preserve">描述同一干扰在不同接收通道上的幅度和相位关系。Blind Nulling的实现目标即为从接收数据中估计该空间关系，并构造满足干扰零响应的合并权值。</w:t>
      </w:r>
    </w:p>
    <w:bookmarkStart w:id="20" w:name="协方差估计与干扰检测"/>
    <w:p>
      <w:pPr>
        <w:pStyle w:val="Heading2"/>
        <w:ind w:firstLine="0"/>
      </w:pPr>
      <w:r>
        <w:rPr>
          <w:rFonts w:ascii="Times New Roman" w:hAnsi="Times New Roman" w:eastAsia="宋体"/>
          <w:color w:val="000000"/>
        </w:rPr>
        <w:t xml:space="preserve">协方差估计与干扰检测</w:t>
      </w:r>
    </w:p>
    <w:p>
      <w:pPr>
        <w:pStyle w:val="FirstParagraph"/>
        <w:spacing w:before="0" w:after="0" w:line="360" w:lineRule="auto"/>
        <w:ind w:firstLine="480"/>
        <w:jc w:val="both"/>
      </w:pPr>
      <w:r>
        <w:t xml:space="preserve">首先由当前处理块计算样本协方差矩阵</w:t>
      </w:r>
    </w:p>
    <w:p>
      <w:pPr>
        <w:pStyle w:val="BodyText"/>
      </w:pPr>
      <m:oMathPara>
        <m:oMathParaPr>
          <m:jc m:val="center"/>
        </m:oMathParaPr>
        <m:oMath>
          <m:sSub>
            <m:e>
              <m:acc>
                <m:accPr>
                  <m:chr m:val="̂"/>
                </m:accPr>
                <m:e>
                  <m:r>
                    <m:rPr>
                      <m:sty m:val="b"/>
                    </m:rPr>
                    <m:t>R</m:t>
                  </m:r>
                </m:e>
              </m:acc>
            </m:e>
            <m:sub>
              <m:r>
                <m:t>x</m:t>
              </m:r>
            </m:sub>
          </m:sSub>
          <m:r>
            <m:rPr>
              <m:sty m:val="p"/>
            </m:rPr>
            <m:t>=</m:t>
          </m:r>
          <m:f>
            <m:fPr>
              <m:type m:val="bar"/>
            </m:fPr>
            <m:num>
              <m:r>
                <m:t>1</m:t>
              </m:r>
            </m:num>
            <m:den>
              <m:r>
                <m:t>N</m:t>
              </m:r>
            </m:den>
          </m:f>
          <m:r>
            <m:rPr>
              <m:sty m:val="b"/>
            </m:rPr>
            <m:t>X</m:t>
          </m:r>
          <m:sSup>
            <m:e>
              <m:r>
                <m:rPr>
                  <m:sty m:val="b"/>
                </m:rPr>
                <m:t>X</m:t>
              </m:r>
            </m:e>
            <m:sup>
              <m:r>
                <m:t>H</m:t>
              </m:r>
            </m:sup>
          </m:sSup>
          <m:r>
            <m:rPr>
              <m:sty m:val="p"/>
            </m:rPr>
            <m:t>.</m:t>
          </m:r>
        </m:oMath>
      </m:oMathPara>
    </w:p>
    <w:p>
      <w:pPr>
        <w:pStyle w:val="FirstParagraph"/>
        <w:spacing w:before="0" w:after="0" w:line="360" w:lineRule="auto"/>
        <w:ind w:firstLine="480"/>
        <w:jc w:val="both"/>
      </w:pPr>
      <w:r>
        <w:t xml:space="preserve">其中，对角元素表示各通道输入功率，非对角元素表示不同通道之间的复相关关系。考虑到不同天线及射频通道可能存在增益差异，根据对角元素构造尺度矩阵</w:t>
      </w:r>
    </w:p>
    <w:p>
      <w:pPr>
        <w:pStyle w:val="BodyText"/>
      </w:pPr>
      <m:oMathPara>
        <m:oMathParaPr>
          <m:jc m:val="center"/>
        </m:oMathParaPr>
        <m:oMath>
          <m:r>
            <m:rPr>
              <m:sty m:val="b"/>
            </m:rPr>
            <m:t>D</m:t>
          </m:r>
          <m:r>
            <m:rPr>
              <m:sty m:val="p"/>
            </m:rPr>
            <m:t>=</m:t>
          </m:r>
          <m:r>
            <m:rPr>
              <m:sty m:val="p"/>
            </m:rPr>
            <m:t>diag</m:t>
          </m:r>
          <m:d>
            <m:dPr>
              <m:begChr m:val="("/>
              <m:endChr m:val=")"/>
              <m:sepChr m:val=""/>
              <m:grow/>
            </m:dPr>
            <m:e>
              <m:rad>
                <m:radPr>
                  <m:degHide m:val="on"/>
                </m:radPr>
                <m:deg/>
                <m:e>
                  <m:sSub>
                    <m:e>
                      <m:acc>
                        <m:accPr>
                          <m:chr m:val="̂"/>
                        </m:accPr>
                        <m:e>
                          <m:r>
                            <m:t>R</m:t>
                          </m:r>
                        </m:e>
                      </m:acc>
                    </m:e>
                    <m:sub>
                      <m:r>
                        <m:t>11</m:t>
                      </m:r>
                    </m:sub>
                  </m:sSub>
                </m:e>
              </m:rad>
              <m:r>
                <m:rPr>
                  <m:sty m:val="p"/>
                </m:rPr>
                <m:t>,</m:t>
              </m:r>
              <m:rad>
                <m:radPr>
                  <m:degHide m:val="on"/>
                </m:radPr>
                <m:deg/>
                <m:e>
                  <m:sSub>
                    <m:e>
                      <m:acc>
                        <m:accPr>
                          <m:chr m:val="̂"/>
                        </m:accPr>
                        <m:e>
                          <m:r>
                            <m:t>R</m:t>
                          </m:r>
                        </m:e>
                      </m:acc>
                    </m:e>
                    <m:sub>
                      <m:r>
                        <m:t>22</m:t>
                      </m:r>
                    </m:sub>
                  </m:sSub>
                </m:e>
              </m:rad>
              <m:r>
                <m:rPr>
                  <m:sty m:val="p"/>
                </m:rPr>
                <m:t>,</m:t>
              </m:r>
              <m:r>
                <m:rPr>
                  <m:sty m:val="p"/>
                </m:rPr>
                <m:t>…</m:t>
              </m:r>
              <m:r>
                <m:rPr>
                  <m:sty m:val="p"/>
                </m:rPr>
                <m:t>,</m:t>
              </m:r>
              <m:rad>
                <m:radPr>
                  <m:degHide m:val="on"/>
                </m:radPr>
                <m:deg/>
                <m:e>
                  <m:sSub>
                    <m:e>
                      <m:acc>
                        <m:accPr>
                          <m:chr m:val="̂"/>
                        </m:accPr>
                        <m:e>
                          <m:r>
                            <m:t>R</m:t>
                          </m:r>
                        </m:e>
                      </m:acc>
                    </m:e>
                    <m:sub>
                      <m:r>
                        <m:t>M</m:t>
                      </m:r>
                      <m:r>
                        <m:t>M</m:t>
                      </m:r>
                    </m:sub>
                  </m:sSub>
                </m:e>
              </m:rad>
            </m:e>
          </m:d>
          <m:r>
            <m:rPr>
              <m:sty m:val="p"/>
            </m:rPr>
            <m:t>,</m:t>
          </m:r>
        </m:oMath>
      </m:oMathPara>
    </w:p>
    <w:p>
      <w:pPr>
        <w:pStyle w:val="FirstParagraph"/>
        <w:spacing w:before="0" w:after="0" w:line="360" w:lineRule="auto"/>
        <w:ind w:firstLine="480"/>
        <w:jc w:val="both"/>
      </w:pPr>
      <w:r>
        <w:t xml:space="preserve">并得到归一化相关矩阵</w:t>
      </w:r>
    </w:p>
    <w:p>
      <w:pPr>
        <w:pStyle w:val="BodyText"/>
      </w:pPr>
      <m:oMathPara>
        <m:oMathParaPr>
          <m:jc m:val="center"/>
        </m:oMathParaPr>
        <m:oMath>
          <m:r>
            <m:rPr>
              <m:sty m:val="b"/>
            </m:rPr>
            <m:t>C</m:t>
          </m:r>
          <m:r>
            <m:rPr>
              <m:sty m:val="p"/>
            </m:rPr>
            <m:t>=</m:t>
          </m:r>
          <m:sSup>
            <m:e>
              <m:r>
                <m:rPr>
                  <m:sty m:val="b"/>
                </m:rPr>
                <m:t>D</m:t>
              </m:r>
            </m:e>
            <m:sup>
              <m:r>
                <m:rPr>
                  <m:sty m:val="p"/>
                </m:rPr>
                <m:t>−</m:t>
              </m:r>
              <m:r>
                <m:t>1</m:t>
              </m:r>
            </m:sup>
          </m:sSup>
          <m:sSub>
            <m:e>
              <m:acc>
                <m:accPr>
                  <m:chr m:val="̂"/>
                </m:accPr>
                <m:e>
                  <m:r>
                    <m:rPr>
                      <m:sty m:val="b"/>
                    </m:rPr>
                    <m:t>R</m:t>
                  </m:r>
                </m:e>
              </m:acc>
            </m:e>
            <m:sub>
              <m:r>
                <m:t>x</m:t>
              </m:r>
            </m:sub>
          </m:sSub>
          <m:sSup>
            <m:e>
              <m:r>
                <m:rPr>
                  <m:sty m:val="b"/>
                </m:rPr>
                <m:t>D</m:t>
              </m:r>
            </m:e>
            <m:sup>
              <m:r>
                <m:rPr>
                  <m:sty m:val="p"/>
                </m:rPr>
                <m:t>−</m:t>
              </m:r>
              <m:r>
                <m:t>1</m:t>
              </m:r>
            </m:sup>
          </m:sSup>
          <m:r>
            <m:rPr>
              <m:sty m:val="p"/>
            </m:rPr>
            <m:t>.</m:t>
          </m:r>
        </m:oMath>
      </m:oMathPara>
    </w:p>
    <w:p>
      <w:pPr>
        <w:pStyle w:val="FirstParagraph"/>
        <w:spacing w:before="0" w:after="0" w:line="360" w:lineRule="auto"/>
        <w:ind w:firstLine="480"/>
        <w:jc w:val="both"/>
      </w:pPr>
      <w:r>
        <w:t xml:space="preserve">归一化后</w:t>
      </w:r>
      <w:r>
        <w:t xml:space="preserve"> </w:t>
      </w:r>
      <m:oMath>
        <m:sSub>
          <m:e>
            <m:r>
              <m:t>C</m:t>
            </m:r>
          </m:e>
          <m:sub>
            <m:r>
              <m:t>i</m:t>
            </m:r>
            <m:r>
              <m:t>i</m:t>
            </m:r>
          </m:sub>
        </m:sSub>
        <m:r>
          <m:rPr>
            <m:sty m:val="p"/>
          </m:rPr>
          <m:t>=</m:t>
        </m:r>
        <m:r>
          <m:t>1</m:t>
        </m:r>
      </m:oMath>
      <w:r>
        <w:t xml:space="preserve">，从而减弱各通道绝对功率差异的影响，使后续检测主要反映跨通道相干性。理想独立噪声条件下有</w:t>
      </w:r>
      <w:r>
        <w:t xml:space="preserve"> </w:t>
      </w:r>
      <m:oMath>
        <m:r>
          <m:rPr>
            <m:sty m:val="b"/>
          </m:rPr>
          <m:t>C</m:t>
        </m:r>
        <m:r>
          <m:rPr>
            <m:sty m:val="p"/>
          </m:rPr>
          <m:t>≈</m:t>
        </m:r>
        <m:r>
          <m:rPr>
            <m:sty m:val="b"/>
          </m:rPr>
          <m:t>I</m:t>
        </m:r>
      </m:oMath>
      <w:r>
        <w:t xml:space="preserve">；若存在强相干干扰，则会出现明显的主特征方向。</w:t>
      </w:r>
    </w:p>
    <w:p>
      <w:pPr>
        <w:pStyle w:val="BodyText"/>
        <w:spacing w:before="0" w:after="0" w:line="360" w:lineRule="auto"/>
        <w:ind w:firstLine="480"/>
        <w:jc w:val="both"/>
      </w:pPr>
      <w:r>
        <w:t xml:space="preserve">对</w:t>
      </w:r>
      <w:r>
        <w:t xml:space="preserve"> </w:t>
      </w:r>
      <m:oMath>
        <m:r>
          <m:rPr>
            <m:sty m:val="b"/>
          </m:rPr>
          <m:t>C</m:t>
        </m:r>
      </m:oMath>
      <w:r>
        <w:t xml:space="preserve"> </w:t>
      </w:r>
      <w:r>
        <w:t xml:space="preserve">进行特征值分解</w:t>
      </w:r>
    </w:p>
    <w:p>
      <w:pPr>
        <w:pStyle w:val="BodyText"/>
      </w:pPr>
      <m:oMathPara>
        <m:oMathParaPr>
          <m:jc m:val="center"/>
        </m:oMathParaPr>
        <m:oMath>
          <m:r>
            <m:rPr>
              <m:sty m:val="b"/>
            </m:rPr>
            <m:t>C</m:t>
          </m:r>
          <m:r>
            <m:rPr>
              <m:sty m:val="p"/>
            </m:rPr>
            <m:t>=</m:t>
          </m:r>
          <m:r>
            <m:rPr>
              <m:sty m:val="b"/>
            </m:rPr>
            <m:t>U</m:t>
          </m:r>
          <m:r>
            <m:rPr>
              <m:sty m:val="b"/>
            </m:rPr>
            <m:t>Λ</m:t>
          </m:r>
          <m:sSup>
            <m:e>
              <m:r>
                <m:rPr>
                  <m:sty m:val="b"/>
                </m:rPr>
                <m:t>U</m:t>
              </m:r>
            </m:e>
            <m:sup>
              <m:r>
                <m:t>H</m:t>
              </m:r>
            </m:sup>
          </m:sSup>
          <m:r>
            <m:rPr>
              <m:sty m:val="p"/>
            </m:rPr>
            <m:t>,</m:t>
          </m:r>
        </m:oMath>
      </m:oMathPara>
    </w:p>
    <w:p>
      <w:pPr>
        <w:pStyle w:val="FirstParagraph"/>
        <w:spacing w:before="0" w:after="0" w:line="360" w:lineRule="auto"/>
        <w:ind w:firstLine="480"/>
        <w:jc w:val="both"/>
      </w:pPr>
      <w:r>
        <w:t xml:space="preserve">并将特征值按</w:t>
      </w:r>
      <w:r>
        <w:t xml:space="preserve"> </w:t>
      </w:r>
      <m:oMath>
        <m:sSub>
          <m:e>
            <m:r>
              <m:t>λ</m:t>
            </m:r>
          </m:e>
          <m:sub>
            <m:r>
              <m:t>1</m:t>
            </m:r>
          </m:sub>
        </m:sSub>
        <m:r>
          <m:rPr>
            <m:sty m:val="p"/>
          </m:rPr>
          <m:t>≤</m:t>
        </m:r>
        <m:r>
          <m:rPr>
            <m:sty m:val="p"/>
          </m:rPr>
          <m:t>⋯</m:t>
        </m:r>
        <m:r>
          <m:rPr>
            <m:sty m:val="p"/>
          </m:rPr>
          <m:t>≤</m:t>
        </m:r>
        <m:sSub>
          <m:e>
            <m:r>
              <m:t>λ</m:t>
            </m:r>
          </m:e>
          <m:sub>
            <m:r>
              <m:t>M</m:t>
            </m:r>
          </m:sub>
        </m:sSub>
      </m:oMath>
      <w:r>
        <w:t xml:space="preserve"> </w:t>
      </w:r>
      <w:r>
        <w:t xml:space="preserve">排列。采用最大特征值与其余特征值平均值的比值作为干扰检测量</w:t>
      </w:r>
    </w:p>
    <w:p>
      <w:pPr>
        <w:pStyle w:val="BodyText"/>
      </w:pPr>
      <m:oMathPara>
        <m:oMathParaPr>
          <m:jc m:val="center"/>
        </m:oMathParaPr>
        <m:oMath>
          <m:sSub>
            <m:e>
              <m:r>
                <m:t>S</m:t>
              </m:r>
            </m:e>
            <m:sub>
              <m:r>
                <m:rPr>
                  <m:sty m:val="p"/>
                </m:rPr>
                <m:t>d</m:t>
              </m:r>
              <m:r>
                <m:rPr>
                  <m:sty m:val="p"/>
                </m:rPr>
                <m:t>e</m:t>
              </m:r>
              <m:r>
                <m:rPr>
                  <m:sty m:val="p"/>
                </m:rPr>
                <m:t>t</m:t>
              </m:r>
            </m:sub>
          </m:sSub>
          <m:r>
            <m:rPr>
              <m:sty m:val="p"/>
            </m:rPr>
            <m:t>=</m:t>
          </m:r>
          <m:r>
            <m:t>10</m:t>
          </m:r>
          <m:sSub>
            <m:e>
              <m:r>
                <m:rPr>
                  <m:sty m:val="p"/>
                </m:rPr>
                <m:t>log</m:t>
              </m:r>
            </m:e>
            <m:sub>
              <m:r>
                <m:t>10</m:t>
              </m:r>
            </m:sub>
          </m:sSub>
          <m:d>
            <m:dPr>
              <m:begChr m:val="("/>
              <m:endChr m:val=")"/>
              <m:sepChr m:val=""/>
              <m:grow/>
            </m:dPr>
            <m:e>
              <m:f>
                <m:fPr>
                  <m:type m:val="bar"/>
                </m:fPr>
                <m:num>
                  <m:sSub>
                    <m:e>
                      <m:r>
                        <m:t>λ</m:t>
                      </m:r>
                    </m:e>
                    <m:sub>
                      <m:r>
                        <m:t>M</m:t>
                      </m:r>
                    </m:sub>
                  </m:sSub>
                </m:num>
                <m:den>
                  <m:f>
                    <m:fPr>
                      <m:type m:val="bar"/>
                    </m:fPr>
                    <m:num>
                      <m:r>
                        <m:t>1</m:t>
                      </m:r>
                    </m:num>
                    <m:den>
                      <m:r>
                        <m:t>M</m:t>
                      </m:r>
                      <m:r>
                        <m:rPr>
                          <m:sty m:val="p"/>
                        </m:rPr>
                        <m:t>−</m:t>
                      </m:r>
                      <m:r>
                        <m:t>1</m:t>
                      </m:r>
                    </m:den>
                  </m:f>
                  <m:nary>
                    <m:naryPr>
                      <m:chr m:val="∑"/>
                      <m:limLoc m:val="undOvr"/>
                      <m:subHide m:val="off"/>
                      <m:supHide m:val="off"/>
                    </m:naryPr>
                    <m:sub>
                      <m:r>
                        <m:t>i</m:t>
                      </m:r>
                      <m:r>
                        <m:rPr>
                          <m:sty m:val="p"/>
                        </m:rPr>
                        <m:t>=</m:t>
                      </m:r>
                      <m:r>
                        <m:t>1</m:t>
                      </m:r>
                    </m:sub>
                    <m:sup>
                      <m:r>
                        <m:t>M</m:t>
                      </m:r>
                      <m:r>
                        <m:rPr>
                          <m:sty m:val="p"/>
                        </m:rPr>
                        <m:t>−</m:t>
                      </m:r>
                      <m:r>
                        <m:t>1</m:t>
                      </m:r>
                    </m:sup>
                    <m:e>
                      <m:sSub>
                        <m:e>
                          <m:r>
                            <m:t>λ</m:t>
                          </m:r>
                        </m:e>
                        <m:sub>
                          <m:r>
                            <m:t>i</m:t>
                          </m:r>
                        </m:sub>
                      </m:sSub>
                    </m:e>
                  </m:nary>
                </m:den>
              </m:f>
            </m:e>
          </m:d>
          <m:r>
            <m:rPr>
              <m:sty m:val="p"/>
            </m:rPr>
            <m:t>.</m:t>
          </m:r>
        </m:oMath>
      </m:oMathPara>
    </w:p>
    <w:p>
      <w:pPr>
        <w:pStyle w:val="FirstParagraph"/>
        <w:spacing w:before="0" w:after="0" w:line="360" w:lineRule="auto"/>
        <w:ind w:firstLine="480"/>
        <w:jc w:val="both"/>
      </w:pPr>
      <w:r>
        <w:t xml:space="preserve">当</w:t>
      </w:r>
      <w:r>
        <w:t xml:space="preserve"> </w:t>
      </w:r>
      <m:oMath>
        <m:sSub>
          <m:e>
            <m:r>
              <m:t>S</m:t>
            </m:r>
          </m:e>
          <m:sub>
            <m:r>
              <m:rPr>
                <m:sty m:val="p"/>
              </m:rPr>
              <m:t>d</m:t>
            </m:r>
            <m:r>
              <m:rPr>
                <m:sty m:val="p"/>
              </m:rPr>
              <m:t>e</m:t>
            </m:r>
            <m:r>
              <m:rPr>
                <m:sty m:val="p"/>
              </m:rPr>
              <m:t>t</m:t>
            </m:r>
          </m:sub>
        </m:sSub>
      </m:oMath>
      <w:r>
        <w:t xml:space="preserve"> </w:t>
      </w:r>
      <w:r>
        <w:t xml:space="preserve">小于设定阈值时，不启用零陷处理，直接输出参考通道；当其超过阈值时，认为存在显著主导干扰，并继续计算零陷权值。</w:t>
      </w:r>
    </w:p>
    <w:bookmarkEnd w:id="20"/>
    <w:bookmarkStart w:id="21" w:name="干扰空间向量与零陷权值计算"/>
    <w:p>
      <w:pPr>
        <w:pStyle w:val="Heading2"/>
        <w:ind w:firstLine="0"/>
      </w:pPr>
      <w:r>
        <w:rPr>
          <w:rFonts w:ascii="Times New Roman" w:hAnsi="Times New Roman" w:eastAsia="宋体"/>
          <w:color w:val="000000"/>
        </w:rPr>
        <w:t xml:space="preserve">干扰空间向量与零陷权值计算</w:t>
      </w:r>
    </w:p>
    <w:p>
      <w:pPr>
        <w:pStyle w:val="FirstParagraph"/>
        <w:spacing w:before="0" w:after="0" w:line="360" w:lineRule="auto"/>
        <w:ind w:firstLine="480"/>
        <w:jc w:val="both"/>
      </w:pPr>
      <w:r>
        <w:t xml:space="preserve">设</w:t>
      </w:r>
      <w:r>
        <w:t xml:space="preserve"> </w:t>
      </w:r>
      <m:oMath>
        <m:sSub>
          <m:e>
            <m:r>
              <m:rPr>
                <m:sty m:val="b"/>
              </m:rPr>
              <m:t>u</m:t>
            </m:r>
          </m:e>
          <m:sub>
            <m:r>
              <m:rPr>
                <m:sty m:val="p"/>
              </m:rPr>
              <m:t>max</m:t>
            </m:r>
          </m:sub>
        </m:sSub>
      </m:oMath>
      <w:r>
        <w:t xml:space="preserve"> </w:t>
      </w:r>
      <w:r>
        <w:t xml:space="preserve">为最大特征值</w:t>
      </w:r>
      <w:r>
        <w:t xml:space="preserve"> </w:t>
      </w:r>
      <m:oMath>
        <m:sSub>
          <m:e>
            <m:r>
              <m:t>λ</m:t>
            </m:r>
          </m:e>
          <m:sub>
            <m:r>
              <m:t>M</m:t>
            </m:r>
          </m:sub>
        </m:sSub>
      </m:oMath>
      <w:r>
        <w:t xml:space="preserve"> </w:t>
      </w:r>
      <w:r>
        <w:t xml:space="preserve">对应的单位特征向量。由于前面对通道功率进行了归一化，需要重新引入各通道幅度尺度，得到</w:t>
      </w:r>
    </w:p>
    <w:p>
      <w:pPr>
        <w:pStyle w:val="BodyText"/>
      </w:pPr>
      <m:oMathPara>
        <m:oMathParaPr>
          <m:jc m:val="center"/>
        </m:oMathParaPr>
        <m:oMath>
          <m:sSub>
            <m:e>
              <m:acc>
                <m:accPr>
                  <m:chr m:val="̃"/>
                </m:accPr>
                <m:e>
                  <m:r>
                    <m:rPr>
                      <m:sty m:val="b"/>
                    </m:rPr>
                    <m:t>a</m:t>
                  </m:r>
                </m:e>
              </m:acc>
            </m:e>
            <m:sub>
              <m:r>
                <m:t>J</m:t>
              </m:r>
            </m:sub>
          </m:sSub>
          <m:r>
            <m:rPr>
              <m:sty m:val="p"/>
            </m:rPr>
            <m:t>=</m:t>
          </m:r>
          <m:r>
            <m:rPr>
              <m:sty m:val="b"/>
            </m:rPr>
            <m:t>D</m:t>
          </m:r>
          <m:sSub>
            <m:e>
              <m:r>
                <m:rPr>
                  <m:sty m:val="b"/>
                </m:rPr>
                <m:t>u</m:t>
              </m:r>
            </m:e>
            <m:sub>
              <m:r>
                <m:rPr>
                  <m:sty m:val="p"/>
                </m:rPr>
                <m:t>max</m:t>
              </m:r>
            </m:sub>
          </m:sSub>
          <m:r>
            <m:rPr>
              <m:sty m:val="p"/>
            </m:rPr>
            <m:t>,</m:t>
          </m:r>
        </m:oMath>
      </m:oMathPara>
    </w:p>
    <w:p>
      <w:pPr>
        <w:pStyle w:val="FirstParagraph"/>
        <w:spacing w:before="0" w:after="0" w:line="360" w:lineRule="auto"/>
        <w:ind w:firstLine="480"/>
        <w:jc w:val="both"/>
      </w:pPr>
      <w:r>
        <w:t xml:space="preserve">并单位化为</w:t>
      </w:r>
    </w:p>
    <w:p>
      <w:pPr>
        <w:pStyle w:val="BodyText"/>
      </w:pPr>
      <m:oMathPara>
        <m:oMathParaPr>
          <m:jc m:val="center"/>
        </m:oMathParaPr>
        <m:oMath>
          <m:sSub>
            <m:e>
              <m:r>
                <m:rPr>
                  <m:sty m:val="b"/>
                </m:rPr>
                <m:t>v</m:t>
              </m:r>
            </m:e>
            <m:sub>
              <m:r>
                <m:t>J</m:t>
              </m:r>
            </m:sub>
          </m:sSub>
          <m:r>
            <m:rPr>
              <m:sty m:val="p"/>
            </m:rPr>
            <m:t>=</m:t>
          </m:r>
          <m:f>
            <m:fPr>
              <m:type m:val="bar"/>
            </m:fPr>
            <m:num>
              <m:sSub>
                <m:e>
                  <m:acc>
                    <m:accPr>
                      <m:chr m:val="̃"/>
                    </m:accPr>
                    <m:e>
                      <m:r>
                        <m:rPr>
                          <m:sty m:val="b"/>
                        </m:rPr>
                        <m:t>a</m:t>
                      </m:r>
                    </m:e>
                  </m:acc>
                </m:e>
                <m:sub>
                  <m:r>
                    <m:t>J</m:t>
                  </m:r>
                </m:sub>
              </m:sSub>
            </m:num>
            <m:den>
              <m:sSub>
                <m:e>
                  <m:d>
                    <m:dPr>
                      <m:begChr m:val="∥"/>
                      <m:endChr m:val="∥"/>
                      <m:sepChr m:val=""/>
                      <m:grow/>
                    </m:dPr>
                    <m:e>
                      <m:sSub>
                        <m:e>
                          <m:acc>
                            <m:accPr>
                              <m:chr m:val="̃"/>
                            </m:accPr>
                            <m:e>
                              <m:r>
                                <m:rPr>
                                  <m:sty m:val="b"/>
                                </m:rPr>
                                <m:t>a</m:t>
                              </m:r>
                            </m:e>
                          </m:acc>
                        </m:e>
                        <m:sub>
                          <m:r>
                            <m:t>J</m:t>
                          </m:r>
                        </m:sub>
                      </m:sSub>
                    </m:e>
                  </m:d>
                </m:e>
                <m:sub>
                  <m:r>
                    <m:t>2</m:t>
                  </m:r>
                </m:sub>
              </m:sSub>
            </m:den>
          </m:f>
          <m:r>
            <m:rPr>
              <m:sty m:val="p"/>
            </m:rPr>
            <m:t>.</m:t>
          </m:r>
        </m:oMath>
      </m:oMathPara>
    </w:p>
    <w:p>
      <w:pPr>
        <w:pStyle w:val="FirstParagraph"/>
        <w:spacing w:before="0" w:after="0" w:line="360" w:lineRule="auto"/>
        <w:ind w:firstLine="480"/>
        <w:jc w:val="both"/>
      </w:pPr>
      <m:oMath>
        <m:sSub>
          <m:e>
            <m:r>
              <m:rPr>
                <m:sty m:val="b"/>
              </m:rPr>
              <m:t>v</m:t>
            </m:r>
          </m:e>
          <m:sub>
            <m:r>
              <m:t>J</m:t>
            </m:r>
          </m:sub>
        </m:sSub>
      </m:oMath>
      <w:r>
        <w:t xml:space="preserve"> </w:t>
      </w:r>
      <w:r>
        <w:t xml:space="preserve">即为估计得到的干扰空间向量。根据该向量构造干扰正交补空间投影矩阵</w:t>
      </w:r>
    </w:p>
    <w:p>
      <w:pPr>
        <w:pStyle w:val="BodyText"/>
      </w:pPr>
      <m:oMathPara>
        <m:oMathParaPr>
          <m:jc m:val="center"/>
        </m:oMathParaPr>
        <m:oMath>
          <m:sSub>
            <m:e>
              <m:r>
                <m:rPr>
                  <m:sty m:val="b"/>
                </m:rPr>
                <m:t>P</m:t>
              </m:r>
            </m:e>
            <m:sub>
              <m:r>
                <m:rPr>
                  <m:sty m:val="p"/>
                </m:rPr>
                <m:t>⊥</m:t>
              </m:r>
            </m:sub>
          </m:sSub>
          <m:r>
            <m:rPr>
              <m:sty m:val="p"/>
            </m:rPr>
            <m:t>=</m:t>
          </m:r>
          <m:r>
            <m:rPr>
              <m:sty m:val="b"/>
            </m:rPr>
            <m:t>I</m:t>
          </m:r>
          <m:r>
            <m:rPr>
              <m:sty m:val="p"/>
            </m:rPr>
            <m:t>−</m:t>
          </m:r>
          <m:sSub>
            <m:e>
              <m:r>
                <m:rPr>
                  <m:sty m:val="b"/>
                </m:rPr>
                <m:t>v</m:t>
              </m:r>
            </m:e>
            <m:sub>
              <m:r>
                <m:t>J</m:t>
              </m:r>
            </m:sub>
          </m:sSub>
          <m:sSubSup>
            <m:e>
              <m:r>
                <m:rPr>
                  <m:sty m:val="b"/>
                </m:rPr>
                <m:t>v</m:t>
              </m:r>
            </m:e>
            <m:sub>
              <m:r>
                <m:t>J</m:t>
              </m:r>
            </m:sub>
            <m:sup>
              <m:r>
                <m:t>H</m:t>
              </m:r>
            </m:sup>
          </m:sSubSup>
          <m:r>
            <m:rPr>
              <m:sty m:val="p"/>
            </m:rPr>
            <m:t>.</m:t>
          </m:r>
        </m:oMath>
      </m:oMathPara>
    </w:p>
    <w:p>
      <w:pPr>
        <w:pStyle w:val="FirstParagraph"/>
        <w:spacing w:before="0" w:after="0" w:line="360" w:lineRule="auto"/>
        <w:ind w:firstLine="480"/>
        <w:jc w:val="both"/>
      </w:pPr>
      <w:r>
        <w:t xml:space="preserve">由于</w:t>
      </w:r>
    </w:p>
    <w:p>
      <w:pPr>
        <w:pStyle w:val="BodyText"/>
      </w:pPr>
      <m:oMathPara>
        <m:oMathParaPr>
          <m:jc m:val="center"/>
        </m:oMathParaPr>
        <m:oMath>
          <m:sSub>
            <m:e>
              <m:r>
                <m:rPr>
                  <m:sty m:val="b"/>
                </m:rPr>
                <m:t>P</m:t>
              </m:r>
            </m:e>
            <m:sub>
              <m:r>
                <m:rPr>
                  <m:sty m:val="p"/>
                </m:rPr>
                <m:t>⊥</m:t>
              </m:r>
            </m:sub>
          </m:sSub>
          <m:sSub>
            <m:e>
              <m:r>
                <m:rPr>
                  <m:sty m:val="b"/>
                </m:rPr>
                <m:t>v</m:t>
              </m:r>
            </m:e>
            <m:sub>
              <m:r>
                <m:t>J</m:t>
              </m:r>
            </m:sub>
          </m:sSub>
          <m:r>
            <m:rPr>
              <m:sty m:val="p"/>
            </m:rPr>
            <m:t>=</m:t>
          </m:r>
          <m:r>
            <m:rPr>
              <m:sty m:val="b"/>
            </m:rPr>
            <m:t>0</m:t>
          </m:r>
          <m:r>
            <m:rPr>
              <m:sty m:val="p"/>
            </m:rPr>
            <m:t>,</m:t>
          </m:r>
        </m:oMath>
      </m:oMathPara>
    </w:p>
    <w:p>
      <w:pPr>
        <w:pStyle w:val="FirstParagraph"/>
        <w:spacing w:before="0" w:after="0" w:line="360" w:lineRule="auto"/>
        <w:ind w:firstLine="480"/>
        <w:jc w:val="both"/>
      </w:pPr>
      <w:r>
        <w:t xml:space="preserve">因此沿估计干扰方向的分量经过该投影后被抑制。</w:t>
      </w:r>
    </w:p>
    <w:p>
      <w:pPr>
        <w:pStyle w:val="BodyText"/>
        <w:spacing w:before="0" w:after="0" w:line="360" w:lineRule="auto"/>
        <w:ind w:firstLine="480"/>
        <w:jc w:val="both"/>
      </w:pPr>
      <w:r>
        <w:t xml:space="preserve">设第</w:t>
      </w:r>
      <w:r>
        <w:t xml:space="preserve"> </w:t>
      </w:r>
      <m:oMath>
        <m:r>
          <m:t>r</m:t>
        </m:r>
      </m:oMath>
      <w:r>
        <w:t xml:space="preserve"> </w:t>
      </w:r>
      <w:r>
        <w:t xml:space="preserve">路为参考通道，其单位基向量记为</w:t>
      </w:r>
      <w:r>
        <w:t xml:space="preserve"> </w:t>
      </w:r>
      <m:oMath>
        <m:sSub>
          <m:e>
            <m:r>
              <m:rPr>
                <m:sty m:val="b"/>
              </m:rPr>
              <m:t>e</m:t>
            </m:r>
          </m:e>
          <m:sub>
            <m:r>
              <m:t>r</m:t>
            </m:r>
          </m:sub>
        </m:sSub>
      </m:oMath>
      <w:r>
        <w:t xml:space="preserve">。将参考向量投影到干扰正交空间，并进行单位增益归一化，最终权值为</w:t>
      </w:r>
    </w:p>
    <w:p>
      <w:pPr>
        <w:pStyle w:val="BodyText"/>
      </w:pPr>
      <m:oMathPara>
        <m:oMathParaPr>
          <m:jc m:val="center"/>
        </m:oMathParaPr>
        <m:oMath>
          <m:r>
            <m:rPr>
              <m:sty m:val="b"/>
            </m:rPr>
            <m:t>w</m:t>
          </m:r>
          <m:r>
            <m:rPr>
              <m:sty m:val="p"/>
            </m:rPr>
            <m:t>=</m:t>
          </m:r>
          <m:f>
            <m:fPr>
              <m:type m:val="bar"/>
            </m:fPr>
            <m:num>
              <m:sSub>
                <m:e>
                  <m:r>
                    <m:rPr>
                      <m:sty m:val="b"/>
                    </m:rPr>
                    <m:t>P</m:t>
                  </m:r>
                </m:e>
                <m:sub>
                  <m:r>
                    <m:rPr>
                      <m:sty m:val="p"/>
                    </m:rPr>
                    <m:t>⊥</m:t>
                  </m:r>
                </m:sub>
              </m:sSub>
              <m:sSub>
                <m:e>
                  <m:r>
                    <m:rPr>
                      <m:sty m:val="b"/>
                    </m:rPr>
                    <m:t>e</m:t>
                  </m:r>
                </m:e>
                <m:sub>
                  <m:r>
                    <m:t>r</m:t>
                  </m:r>
                </m:sub>
              </m:sSub>
            </m:num>
            <m:den>
              <m:sSubSup>
                <m:e>
                  <m:r>
                    <m:rPr>
                      <m:sty m:val="b"/>
                    </m:rPr>
                    <m:t>e</m:t>
                  </m:r>
                </m:e>
                <m:sub>
                  <m:r>
                    <m:t>r</m:t>
                  </m:r>
                </m:sub>
                <m:sup>
                  <m:r>
                    <m:t>H</m:t>
                  </m:r>
                </m:sup>
              </m:sSubSup>
              <m:sSub>
                <m:e>
                  <m:r>
                    <m:rPr>
                      <m:sty m:val="b"/>
                    </m:rPr>
                    <m:t>P</m:t>
                  </m:r>
                </m:e>
                <m:sub>
                  <m:r>
                    <m:rPr>
                      <m:sty m:val="p"/>
                    </m:rPr>
                    <m:t>⊥</m:t>
                  </m:r>
                </m:sub>
              </m:sSub>
              <m:sSub>
                <m:e>
                  <m:r>
                    <m:rPr>
                      <m:sty m:val="b"/>
                    </m:rPr>
                    <m:t>e</m:t>
                  </m:r>
                </m:e>
                <m:sub>
                  <m:r>
                    <m:t>r</m:t>
                  </m:r>
                </m:sub>
              </m:sSub>
            </m:den>
          </m:f>
          <m:r>
            <m:rPr>
              <m:sty m:val="p"/>
            </m:rPr>
            <m:t>.</m:t>
          </m:r>
        </m:oMath>
      </m:oMathPara>
    </w:p>
    <w:p>
      <w:pPr>
        <w:pStyle w:val="FirstParagraph"/>
        <w:spacing w:before="0" w:after="0" w:line="360" w:lineRule="auto"/>
        <w:ind w:firstLine="480"/>
        <w:jc w:val="both"/>
      </w:pPr>
      <w:r>
        <w:t xml:space="preserve">该权值满足</w:t>
      </w:r>
    </w:p>
    <w:p>
      <w:pPr>
        <w:pStyle w:val="BodyText"/>
      </w:pPr>
      <m:oMathPara>
        <m:oMathParaPr>
          <m:jc m:val="center"/>
        </m:oMathParaPr>
        <m:oMath>
          <m:sSup>
            <m:e>
              <m:r>
                <m:rPr>
                  <m:sty m:val="b"/>
                </m:rPr>
                <m:t>w</m:t>
              </m:r>
            </m:e>
            <m:sup>
              <m:r>
                <m:t>H</m:t>
              </m:r>
            </m:sup>
          </m:sSup>
          <m:sSub>
            <m:e>
              <m:r>
                <m:rPr>
                  <m:sty m:val="b"/>
                </m:rPr>
                <m:t>v</m:t>
              </m:r>
            </m:e>
            <m:sub>
              <m:r>
                <m:t>J</m:t>
              </m:r>
            </m:sub>
          </m:sSub>
          <m:r>
            <m:rPr>
              <m:sty m:val="p"/>
            </m:rPr>
            <m:t>=</m:t>
          </m:r>
          <m:r>
            <m:t>0</m:t>
          </m:r>
          <m:r>
            <m:rPr>
              <m:sty m:val="p"/>
            </m:rPr>
            <m:t>,</m:t>
          </m:r>
        </m:oMath>
      </m:oMathPara>
    </w:p>
    <w:p>
      <w:pPr>
        <w:pStyle w:val="FirstParagraph"/>
        <w:spacing w:before="0" w:after="0" w:line="360" w:lineRule="auto"/>
        <w:ind w:firstLine="480"/>
        <w:jc w:val="both"/>
      </w:pPr>
      <w:r>
        <w:t xml:space="preserve">因此可在估计干扰方向形成零陷。最终输出为</w:t>
      </w:r>
    </w:p>
    <w:p>
      <w:pPr>
        <w:pStyle w:val="BodyText"/>
      </w:pPr>
      <m:oMathPara>
        <m:oMathParaPr>
          <m:jc m:val="center"/>
        </m:oMathParaPr>
        <m:oMath>
          <m:r>
            <m:rPr>
              <m:sty m:val="b"/>
            </m:rPr>
            <m:t>y</m:t>
          </m:r>
          <m:r>
            <m:rPr>
              <m:sty m:val="p"/>
            </m:rPr>
            <m:t>=</m:t>
          </m:r>
          <m:sSup>
            <m:e>
              <m:r>
                <m:rPr>
                  <m:sty m:val="b"/>
                </m:rPr>
                <m:t>w</m:t>
              </m:r>
            </m:e>
            <m:sup>
              <m:r>
                <m:t>H</m:t>
              </m:r>
            </m:sup>
          </m:sSup>
          <m:r>
            <m:rPr>
              <m:sty m:val="b"/>
            </m:rPr>
            <m:t>X</m:t>
          </m:r>
          <m:r>
            <m:rPr>
              <m:sty m:val="p"/>
            </m:rPr>
            <m:t>.</m:t>
          </m:r>
        </m:oMath>
      </m:oMathPara>
    </w:p>
    <w:p>
      <w:pPr>
        <w:pStyle w:val="FirstParagraph"/>
        <w:spacing w:before="0" w:after="0" w:line="360" w:lineRule="auto"/>
        <w:ind w:firstLine="480"/>
        <w:jc w:val="both"/>
      </w:pPr>
      <w:r>
        <w:t xml:space="preserve">实现上，参考通道仅用于确定最终输出的基准，并不是只对参考通道自身进行处理。零陷开启后，算法会同时引入其他通道，并根据估计得到的干扰幅相关系进行复数加权，使不同通道中的干扰分量在输出端相互抵消。</w:t>
      </w:r>
    </w:p>
    <w:bookmarkEnd w:id="21"/>
    <w:bookmarkStart w:id="22" w:name="双通道实现理解"/>
    <w:p>
      <w:pPr>
        <w:pStyle w:val="Heading2"/>
        <w:ind w:firstLine="0"/>
      </w:pPr>
      <w:r>
        <w:rPr>
          <w:rFonts w:ascii="Times New Roman" w:hAnsi="Times New Roman" w:eastAsia="宋体"/>
          <w:color w:val="000000"/>
        </w:rPr>
        <w:t xml:space="preserve">双通道实现理解</w:t>
      </w:r>
    </w:p>
    <w:p>
      <w:pPr>
        <w:pStyle w:val="FirstParagraph"/>
        <w:spacing w:before="0" w:after="0" w:line="360" w:lineRule="auto"/>
        <w:ind w:firstLine="480"/>
        <w:jc w:val="both"/>
      </w:pPr>
      <w:r>
        <w:t xml:space="preserve">对于双通道系统，设估计干扰向量为</w:t>
      </w:r>
    </w:p>
    <w:p>
      <w:pPr>
        <w:pStyle w:val="BodyText"/>
      </w:pPr>
      <m:oMathPara>
        <m:oMathParaPr>
          <m:jc m:val="center"/>
        </m:oMathParaPr>
        <m:oMath>
          <m:sSub>
            <m:e>
              <m:r>
                <m:rPr>
                  <m:sty m:val="b"/>
                </m:rPr>
                <m:t>v</m:t>
              </m:r>
            </m:e>
            <m:sub>
              <m:r>
                <m:t>J</m:t>
              </m:r>
            </m:sub>
          </m:sSub>
          <m:r>
            <m:rPr>
              <m:sty m:val="p"/>
            </m:rPr>
            <m:t>=</m:t>
          </m:r>
          <m:sSup>
            <m:e>
              <m:d>
                <m:dPr>
                  <m:begChr m:val="["/>
                  <m:endChr m:val="]"/>
                  <m:sepChr m:val=""/>
                  <m:grow/>
                </m:dPr>
                <m:e>
                  <m:m>
                    <m:mPr>
                      <m:baseJc m:val="center"/>
                      <m:plcHide m:val="on"/>
                      <m:mcs>
                        <m:mc>
                          <m:mcPr>
                            <m:mcJc m:val="center"/>
                            <m:count m:val="1"/>
                          </m:mcPr>
                        </m:mc>
                        <m:mc>
                          <m:mcPr>
                            <m:mcJc m:val="center"/>
                            <m:count m:val="1"/>
                          </m:mcPr>
                        </m:mc>
                      </m:mcs>
                    </m:mPr>
                    <m:mr>
                      <m:e>
                        <m:sSub>
                          <m:e>
                            <m:r>
                              <m:t>v</m:t>
                            </m:r>
                          </m:e>
                          <m:sub>
                            <m:r>
                              <m:t>1</m:t>
                            </m:r>
                          </m:sub>
                        </m:sSub>
                      </m:e>
                      <m:e>
                        <m:sSub>
                          <m:e>
                            <m:r>
                              <m:t>v</m:t>
                            </m:r>
                          </m:e>
                          <m:sub>
                            <m:r>
                              <m:t>2</m:t>
                            </m:r>
                          </m:sub>
                        </m:sSub>
                      </m:e>
                    </m:mr>
                  </m:m>
                </m:e>
              </m:d>
            </m:e>
            <m:sup>
              <m:r>
                <m:t>T</m:t>
              </m:r>
            </m:sup>
          </m:sSup>
          <m:r>
            <m:rPr>
              <m:sty m:val="p"/>
            </m:rPr>
            <m:t>,</m:t>
          </m:r>
        </m:oMath>
      </m:oMathPara>
    </w:p>
    <w:p>
      <w:pPr>
        <w:pStyle w:val="FirstParagraph"/>
        <w:spacing w:before="0" w:after="0" w:line="360" w:lineRule="auto"/>
        <w:ind w:firstLine="480"/>
        <w:jc w:val="both"/>
      </w:pPr>
      <w:r>
        <w:t xml:space="preserve">选择第1路作为参考通道时，上述权值计算最终可化简为</w:t>
      </w:r>
    </w:p>
    <w:p>
      <w:pPr>
        <w:pStyle w:val="BodyText"/>
      </w:pPr>
      <m:oMathPara>
        <m:oMathParaPr>
          <m:jc m:val="center"/>
        </m:oMathParaPr>
        <m:oMath>
          <m:r>
            <m:t>y</m:t>
          </m:r>
          <m:r>
            <m:rPr>
              <m:sty m:val="p"/>
            </m:rPr>
            <m:t>=</m:t>
          </m:r>
          <m:sSub>
            <m:e>
              <m:r>
                <m:t>x</m:t>
              </m:r>
            </m:e>
            <m:sub>
              <m:r>
                <m:t>1</m:t>
              </m:r>
            </m:sub>
          </m:sSub>
          <m:r>
            <m:rPr>
              <m:sty m:val="p"/>
            </m:rPr>
            <m:t>−</m:t>
          </m:r>
          <m:f>
            <m:fPr>
              <m:type m:val="bar"/>
            </m:fPr>
            <m:num>
              <m:sSub>
                <m:e>
                  <m:r>
                    <m:t>v</m:t>
                  </m:r>
                </m:e>
                <m:sub>
                  <m:r>
                    <m:t>1</m:t>
                  </m:r>
                </m:sub>
              </m:sSub>
            </m:num>
            <m:den>
              <m:sSub>
                <m:e>
                  <m:r>
                    <m:t>v</m:t>
                  </m:r>
                </m:e>
                <m:sub>
                  <m:r>
                    <m:t>2</m:t>
                  </m:r>
                </m:sub>
              </m:sSub>
            </m:den>
          </m:f>
          <m:sSub>
            <m:e>
              <m:r>
                <m:t>x</m:t>
              </m:r>
            </m:e>
            <m:sub>
              <m:r>
                <m:t>2</m:t>
              </m:r>
            </m:sub>
          </m:sSub>
          <m:r>
            <m:rPr>
              <m:sty m:val="p"/>
            </m:rPr>
            <m:t>.</m:t>
          </m:r>
        </m:oMath>
      </m:oMathPara>
    </w:p>
    <w:p>
      <w:pPr>
        <w:pStyle w:val="FirstParagraph"/>
        <w:spacing w:before="0" w:after="0" w:line="360" w:lineRule="auto"/>
        <w:ind w:firstLine="480"/>
        <w:jc w:val="both"/>
      </w:pPr>
      <w:r>
        <w:t xml:space="preserve">因此，双通道 Blind Nulling可以理解为：先根据接收数据估计干扰在两路上的复数幅相比，再对辅助通道进行幅度和相位调整，使其干扰分量与参考通道中的干扰等幅反相，从而完成空间相消。</w:t>
      </w:r>
    </w:p>
    <w:p>
      <w:pPr>
        <w:spacing w:before="0" w:after="0" w:line="360" w:lineRule="auto"/>
        <w:ind w:firstLine="480"/>
        <w:jc w:val="both"/>
      </w:pPr>
      <w:r>
        <w:rPr>
          <w:rFonts w:ascii="Times New Roman" w:hAnsi="Times New Roman" w:eastAsia="宋体"/>
          <w:sz w:val="24"/>
        </w:rPr>
        <w:t>实际实现时，协方差统计窗口需要在估计稳定性和动态跟踪能力之间折中；同时应对归一化分母过小及权值范数过大的情况设置保护。</w:t>
      </w:r>
    </w:p>
    <w:bookmarkEnd w:id="22"/>
    <w:bookmarkEnd w:id="23"/>
    <w:sectPr>
      <w:footerReference r:id="rId9" w:type="default"/>
      <w:pgMar w:bottom="1440" w:left="1701" w:right="1474"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000000"/>
        <w:sz w:val="20"/>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360" w:lineRule="auto"/>
      <w:ind w:firstLine="420"/>
      <w:jc w:val="both"/>
    </w:pPr>
    <w:rPr>
      <w:rFonts w:ascii="Times New Roman" w:eastAsia="宋体" w:hAnsi="Times New Roman"/>
      <w:color w:val="000000"/>
      <w:sz w:val="24"/>
    </w:rPr>
  </w:style>
  <w:style w:styleId="BodyText" w:type="paragraph">
    <w:name w:val="Body Text"/>
    <w:basedOn w:val="Normal"/>
    <w:link w:val="BodyTextChar"/>
    <w:qFormat/>
    <w:pPr>
      <w:spacing w:after="180" w:before="180"/>
    </w:pPr>
    <w:rPr>
      <w:rFonts w:ascii="Times New Roman" w:hAnsi="Times New Roman" w:eastAsia="宋体"/>
      <w:sz w:val="24"/>
    </w:rPr>
  </w:style>
  <w:style w:customStyle="1" w:styleId="FirstParagraph" w:type="paragraph">
    <w:name w:val="First Paragraph"/>
    <w:basedOn w:val="BodyText"/>
    <w:next w:val="BodyText"/>
    <w:qFormat/>
    <w:rPr>
      <w:rFonts w:ascii="Times New Roman" w:hAnsi="Times New Roman" w:eastAsia="宋体"/>
      <w:sz w:val="24"/>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eastAsia="宋体"/>
      <w:b/>
      <w:bCs/>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2026-09-02T04:15:20Z</dcterms:created>
  <dcterms:modified xsi:type="dcterms:W3CDTF">2026-09-02T04:15:20Z</dcterms:modified>
</cp:coreProperties>
</file>

<file path=docProps/custom.xml><?xml version="1.0" encoding="utf-8"?>
<Properties xmlns="http://schemas.openxmlformats.org/officeDocument/2006/custom-properties" xmlns:vt="http://schemas.openxmlformats.org/officeDocument/2006/docPropsVTypes"/>
</file>