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vdr-实现方法"/>
    <w:p>
      <w:pPr>
        <w:pStyle w:val="Heading1"/>
      </w:pPr>
      <w:r>
        <w:t xml:space="preserve">MVDR 实现方法</w:t>
      </w:r>
    </w:p>
    <w:p>
      <w:pPr>
        <w:pStyle w:val="FirstParagraph"/>
      </w:pPr>
      <w:r>
        <w:t xml:space="preserve">MVDR（Minimum Variance Distortionless Response）在保证目标卫星无失真通过的条件下最小化阵列输出功率。与 Blind Nulling 直接估计干扰方向不同，MVDR 需要先获得目标卫星导向矢量。GNSS 卫星稳定跟踪后，可复用跟踪环的码和载波参数，在各天线通道上进行相关积分，估计通道间相对幅相并作为 MVDR 的约束方向。</w:t>
      </w:r>
    </w:p>
    <w:bookmarkStart w:id="20" w:name="目标导向矢量估计"/>
    <w:p>
      <w:pPr>
        <w:pStyle w:val="Heading2"/>
      </w:pPr>
      <w:r>
        <w:t xml:space="preserve">1. 目标导向矢量估计</w:t>
      </w:r>
    </w:p>
    <w:p>
      <w:pPr>
        <w:pStyle w:val="FirstParagraph"/>
      </w:pPr>
      <w:r>
        <w:t xml:space="preserve">设阵列包含</w:t>
      </w:r>
      <w:r>
        <w:t xml:space="preserve"> </w:t>
      </w:r>
      <m:oMath>
        <m:r>
          <m:t>M</m:t>
        </m:r>
      </m:oMath>
      <w:r>
        <w:t xml:space="preserve"> </w:t>
      </w:r>
      <w:r>
        <w:t xml:space="preserve">个接收通道。对于已经稳定跟踪的第</w:t>
      </w:r>
      <w:r>
        <w:t xml:space="preserve"> </w:t>
      </w:r>
      <m:oMath>
        <m:r>
          <m:t>k</m:t>
        </m:r>
      </m:oMath>
      <w:r>
        <w:t xml:space="preserve"> </w:t>
      </w:r>
      <w:r>
        <w:t xml:space="preserve">颗卫星，复用主跟踪通道的本地码和载波，对第</w:t>
      </w:r>
      <w:r>
        <w:t xml:space="preserve"> </w:t>
      </w:r>
      <m:oMath>
        <m:r>
          <m:t>m</m:t>
        </m:r>
      </m:oMath>
      <w:r>
        <w:t xml:space="preserve"> </w:t>
      </w:r>
      <w:r>
        <w:t xml:space="preserve">个天线通道进行 Prompt 相关积分：</w:t>
      </w:r>
    </w:p>
    <w:p>
      <w:pPr>
        <w:pStyle w:val="BodyText"/>
      </w:pPr>
      <m:oMathPara>
        <m:oMathParaPr>
          <m:jc m:val="center"/>
        </m:oMathParaPr>
        <m:oMath>
          <m:sSub>
            <m:e>
              <m:r>
                <m:t>Z</m:t>
              </m:r>
            </m:e>
            <m:sub>
              <m:r>
                <m:t>m</m:t>
              </m:r>
              <m:r>
                <m:rPr>
                  <m:sty m:val="p"/>
                </m:rPr>
                <m:t>,</m:t>
              </m:r>
              <m:r>
                <m:t>k</m:t>
              </m:r>
            </m:sub>
          </m:sSub>
          <m:r>
            <m:rPr>
              <m:sty m:val="p"/>
            </m:rPr>
            <m:t>=</m:t>
          </m:r>
          <m:nary>
            <m:naryPr>
              <m:chr m:val="∑"/>
              <m:limLoc m:val="undOvr"/>
              <m:subHide m:val="off"/>
              <m:supHide m:val="off"/>
            </m:naryPr>
            <m:sub>
              <m:r>
                <m:t>n</m:t>
              </m:r>
              <m:r>
                <m:rPr>
                  <m:sty m:val="p"/>
                </m:rPr>
                <m:t>=</m:t>
              </m:r>
              <m:r>
                <m:t>0</m:t>
              </m:r>
            </m:sub>
            <m:sup>
              <m:sSub>
                <m:e>
                  <m:r>
                    <m:t>N</m:t>
                  </m:r>
                </m:e>
                <m:sub>
                  <m:r>
                    <m:t>c</m:t>
                  </m:r>
                </m:sub>
              </m:sSub>
              <m:r>
                <m:rPr>
                  <m:sty m:val="p"/>
                </m:rPr>
                <m:t>−</m:t>
              </m:r>
              <m:r>
                <m:t>1</m:t>
              </m:r>
            </m:sup>
            <m:e>
              <m:sSub>
                <m:e>
                  <m:r>
                    <m:t>x</m:t>
                  </m:r>
                </m:e>
                <m:sub>
                  <m:r>
                    <m:t>m</m:t>
                  </m:r>
                </m:sub>
              </m:sSub>
            </m:e>
          </m:nary>
          <m:d>
            <m:dPr>
              <m:begChr m:val="["/>
              <m:endChr m:val="]"/>
              <m:sepChr m:val=""/>
              <m:grow/>
            </m:dPr>
            <m:e>
              <m:r>
                <m:t>n</m:t>
              </m:r>
            </m:e>
          </m:d>
          <m:sSubSup>
            <m:e>
              <m:r>
                <m:t>c</m:t>
              </m:r>
            </m:e>
            <m:sub>
              <m:r>
                <m:t>k</m:t>
              </m:r>
            </m:sub>
            <m:sup>
              <m:r>
                <m:rPr>
                  <m:sty m:val="p"/>
                </m:rPr>
                <m:t>*</m:t>
              </m:r>
            </m:sup>
          </m:sSubSup>
          <m:d>
            <m:dPr>
              <m:begChr m:val="["/>
              <m:endChr m:val="]"/>
              <m:sepChr m:val=""/>
              <m:grow/>
            </m:dPr>
            <m:e>
              <m:r>
                <m:t>n</m:t>
              </m:r>
            </m:e>
          </m:d>
          <m:sSup>
            <m:e>
              <m:r>
                <m:t>e</m:t>
              </m:r>
            </m:e>
            <m:sup>
              <m:r>
                <m:rPr>
                  <m:sty m:val="p"/>
                </m:rPr>
                <m:t>−</m:t>
              </m:r>
              <m:r>
                <m:t>j</m:t>
              </m:r>
              <m:sSub>
                <m:e>
                  <m:acc>
                    <m:accPr>
                      <m:chr m:val="̂"/>
                    </m:accPr>
                    <m:e>
                      <m:r>
                        <m:t>ϕ</m:t>
                      </m:r>
                    </m:e>
                  </m:acc>
                </m:e>
                <m:sub>
                  <m:r>
                    <m:t>k</m:t>
                  </m:r>
                </m:sub>
              </m:sSub>
              <m:d>
                <m:dPr>
                  <m:begChr m:val="["/>
                  <m:endChr m:val="]"/>
                  <m:sepChr m:val=""/>
                  <m:grow/>
                </m:dPr>
                <m:e>
                  <m:r>
                    <m:t>n</m:t>
                  </m:r>
                </m:e>
              </m:d>
            </m:sup>
          </m:sSup>
        </m:oMath>
      </m:oMathPara>
    </w:p>
    <w:p>
      <w:pPr>
        <w:pStyle w:val="FirstParagraph"/>
      </w:pPr>
      <w:r>
        <w:t xml:space="preserve">跟踪稳定后，各通道相关输出主要反映目标卫星在对应通道上的复数响应，可近似表示为</w:t>
      </w:r>
    </w:p>
    <w:p>
      <w:pPr>
        <w:pStyle w:val="BodyText"/>
      </w:pPr>
      <m:oMathPara>
        <m:oMathParaPr>
          <m:jc m:val="center"/>
        </m:oMathParaPr>
        <m:oMath>
          <m:sSub>
            <m:e>
              <m:r>
                <m:t>Z</m:t>
              </m:r>
            </m:e>
            <m:sub>
              <m:r>
                <m:t>m</m:t>
              </m:r>
              <m:r>
                <m:rPr>
                  <m:sty m:val="p"/>
                </m:rPr>
                <m:t>,</m:t>
              </m:r>
              <m:r>
                <m:t>k</m:t>
              </m:r>
            </m:sub>
          </m:sSub>
          <m:r>
            <m:rPr>
              <m:sty m:val="p"/>
            </m:rPr>
            <m:t>≈</m:t>
          </m:r>
          <m:sSub>
            <m:e>
              <m:r>
                <m:t>A</m:t>
              </m:r>
            </m:e>
            <m:sub>
              <m:r>
                <m:t>m</m:t>
              </m:r>
              <m:r>
                <m:rPr>
                  <m:sty m:val="p"/>
                </m:rPr>
                <m:t>,</m:t>
              </m:r>
              <m:r>
                <m:t>k</m:t>
              </m:r>
            </m:sub>
          </m:sSub>
          <m:sSup>
            <m:e>
              <m:r>
                <m:t>e</m:t>
              </m:r>
            </m:e>
            <m:sup>
              <m:r>
                <m:t>j</m:t>
              </m:r>
              <m:sSub>
                <m:e>
                  <m:r>
                    <m:t>θ</m:t>
                  </m:r>
                </m:e>
                <m:sub>
                  <m:r>
                    <m:t>m</m:t>
                  </m:r>
                  <m:r>
                    <m:rPr>
                      <m:sty m:val="p"/>
                    </m:rPr>
                    <m:t>,</m:t>
                  </m:r>
                  <m:r>
                    <m:t>k</m:t>
                  </m:r>
                </m:sub>
              </m:sSub>
            </m:sup>
          </m:sSup>
        </m:oMath>
      </m:oMathPara>
    </w:p>
    <w:p>
      <w:pPr>
        <w:pStyle w:val="FirstParagraph"/>
      </w:pPr>
      <w:r>
        <w:t xml:space="preserve">以第 1 个通道作为参考，计算其他通道相对于参考通道的复数幅相比：</w:t>
      </w:r>
    </w:p>
    <w:p>
      <w:pPr>
        <w:pStyle w:val="BodyText"/>
      </w:pPr>
      <m:oMathPara>
        <m:oMathParaPr>
          <m:jc m:val="center"/>
        </m:oMathParaPr>
        <m:oMath>
          <m:sSub>
            <m:e>
              <m:r>
                <m:t>ρ</m:t>
              </m:r>
            </m:e>
            <m:sub>
              <m:r>
                <m:t>m</m:t>
              </m:r>
              <m:r>
                <m:rPr>
                  <m:sty m:val="p"/>
                </m:rPr>
                <m:t>,</m:t>
              </m:r>
              <m:r>
                <m:t>k</m:t>
              </m:r>
            </m:sub>
          </m:sSub>
          <m:r>
            <m:rPr>
              <m:sty m:val="p"/>
            </m:rPr>
            <m:t>=</m:t>
          </m:r>
          <m:f>
            <m:fPr>
              <m:type m:val="bar"/>
            </m:fPr>
            <m:num>
              <m:sSub>
                <m:e>
                  <m:r>
                    <m:t>Z</m:t>
                  </m:r>
                </m:e>
                <m:sub>
                  <m:r>
                    <m:t>m</m:t>
                  </m:r>
                  <m:r>
                    <m:rPr>
                      <m:sty m:val="p"/>
                    </m:rPr>
                    <m:t>,</m:t>
                  </m:r>
                  <m:r>
                    <m:t>k</m:t>
                  </m:r>
                </m:sub>
              </m:sSub>
            </m:num>
            <m:den>
              <m:sSub>
                <m:e>
                  <m:r>
                    <m:t>Z</m:t>
                  </m:r>
                </m:e>
                <m:sub>
                  <m:r>
                    <m:t>1</m:t>
                  </m:r>
                  <m:r>
                    <m:rPr>
                      <m:sty m:val="p"/>
                    </m:rPr>
                    <m:t>,</m:t>
                  </m:r>
                  <m:r>
                    <m:t>k</m:t>
                  </m:r>
                </m:sub>
              </m:sSub>
            </m:den>
          </m:f>
        </m:oMath>
      </m:oMathPara>
    </w:p>
    <w:p>
      <w:pPr>
        <w:pStyle w:val="FirstParagraph"/>
      </w:pPr>
      <w:r>
        <w:t xml:space="preserve">由此得到目标卫星导向矢量：</w:t>
      </w:r>
    </w:p>
    <w:p>
      <w:pPr>
        <w:pStyle w:val="BodyText"/>
      </w:pPr>
      <m:oMathPara>
        <m:oMathParaPr>
          <m:jc m:val="center"/>
        </m:oMathParaPr>
        <m:oMath>
          <m:sSub>
            <m:e>
              <m:acc>
                <m:accPr>
                  <m:chr m:val="̂"/>
                </m:accPr>
                <m:e>
                  <m:r>
                    <m:rPr>
                      <m:sty m:val="b"/>
                    </m:rPr>
                    <m:t>a</m:t>
                  </m:r>
                </m:e>
              </m:acc>
            </m:e>
            <m:sub>
              <m:r>
                <m:t>k</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sSub>
                          <m:e>
                            <m:r>
                              <m:t>ρ</m:t>
                            </m:r>
                          </m:e>
                          <m:sub>
                            <m:r>
                              <m:t>2</m:t>
                            </m:r>
                            <m:r>
                              <m:rPr>
                                <m:sty m:val="p"/>
                              </m:rPr>
                              <m:t>,</m:t>
                            </m:r>
                            <m:r>
                              <m:t>k</m:t>
                            </m:r>
                          </m:sub>
                        </m:sSub>
                      </m:e>
                      <m:e>
                        <m:r>
                          <m:rPr>
                            <m:sty m:val="p"/>
                          </m:rPr>
                          <m:t>⋯</m:t>
                        </m:r>
                      </m:e>
                      <m:e>
                        <m:sSub>
                          <m:e>
                            <m:r>
                              <m:t>ρ</m:t>
                            </m:r>
                          </m:e>
                          <m:sub>
                            <m:r>
                              <m:t>M</m:t>
                            </m:r>
                            <m:r>
                              <m:rPr>
                                <m:sty m:val="p"/>
                              </m:rPr>
                              <m:t>,</m:t>
                            </m:r>
                            <m:r>
                              <m:t>k</m:t>
                            </m:r>
                          </m:sub>
                        </m:sSub>
                      </m:e>
                    </m:mr>
                  </m:m>
                </m:e>
              </m:d>
            </m:e>
            <m:sup>
              <m:r>
                <m:t>T</m:t>
              </m:r>
            </m:sup>
          </m:sSup>
        </m:oMath>
      </m:oMathPara>
    </w:p>
    <w:p>
      <w:pPr>
        <w:pStyle w:val="FirstParagraph"/>
      </w:pPr>
      <w:r>
        <w:t xml:space="preserve">该导向矢量包含了天线空间相位差、天线增益差异以及 RF 通道固定幅相差，因此实际实现中不必依赖理想阵列几何模型。为降低单次相关结果中的热噪声和跟踪抖动，可对</w:t>
      </w:r>
      <w:r>
        <w:t xml:space="preserve"> </w:t>
      </w:r>
      <m:oMath>
        <m:sSub>
          <m:e>
            <m:r>
              <m:t>ρ</m:t>
            </m:r>
          </m:e>
          <m:sub>
            <m:r>
              <m:t>m</m:t>
            </m:r>
            <m:r>
              <m:rPr>
                <m:sty m:val="p"/>
              </m:rPr>
              <m:t>,</m:t>
            </m:r>
            <m:r>
              <m:t>k</m:t>
            </m:r>
          </m:sub>
        </m:sSub>
      </m:oMath>
      <w:r>
        <w:t xml:space="preserve"> </w:t>
      </w:r>
      <w:r>
        <w:t xml:space="preserve">进行时间平均后再更新导向矢量。</w:t>
      </w:r>
    </w:p>
    <w:bookmarkEnd w:id="20"/>
    <w:bookmarkStart w:id="21" w:name="协方差矩阵与-mvdr-权值"/>
    <w:p>
      <w:pPr>
        <w:pStyle w:val="Heading2"/>
      </w:pPr>
      <w:r>
        <w:t xml:space="preserve">2. 协方差矩阵与 MVDR 权值</w:t>
      </w:r>
    </w:p>
    <w:p>
      <w:pPr>
        <w:pStyle w:val="FirstParagraph"/>
      </w:pPr>
      <w:r>
        <w:t xml:space="preserve">设一个处理窗口内的多通道数据矩阵为</w:t>
      </w:r>
    </w:p>
    <w:p>
      <w:pPr>
        <w:pStyle w:val="BodyText"/>
      </w:pPr>
      <m:oMathPara>
        <m:oMathParaPr>
          <m:jc m:val="center"/>
        </m:oMathParaPr>
        <m:oMath>
          <m:r>
            <m:rPr>
              <m:sty m:val="b"/>
            </m:rPr>
            <m:t>X</m:t>
          </m:r>
          <m:r>
            <m:rPr>
              <m:sty m:val="p"/>
            </m:rPr>
            <m:t>∈</m:t>
          </m:r>
          <m:sSup>
            <m:e>
              <m:r>
                <m:rPr>
                  <m:sty m:val="p"/>
                  <m:scr m:val="double-struck"/>
                </m:rPr>
                <m:t>C</m:t>
              </m:r>
            </m:e>
            <m:sup>
              <m:r>
                <m:t>M</m:t>
              </m:r>
              <m:r>
                <m:rPr>
                  <m:sty m:val="p"/>
                </m:rPr>
                <m:t>×</m:t>
              </m:r>
              <m:r>
                <m:t>N</m:t>
              </m:r>
            </m:sup>
          </m:sSup>
        </m:oMath>
      </m:oMathPara>
    </w:p>
    <w:p>
      <w:pPr>
        <w:pStyle w:val="FirstParagraph"/>
      </w:pPr>
      <w:r>
        <w:t xml:space="preserve">则样本协方差矩阵为</w:t>
      </w:r>
    </w:p>
    <w:p>
      <w:pPr>
        <w:pStyle w:val="BodyText"/>
      </w:pPr>
      <m:oMathPara>
        <m:oMathParaPr>
          <m:jc m:val="center"/>
        </m:oMathParaPr>
        <m:oMath>
          <m:acc>
            <m:accPr>
              <m:chr m:val="̂"/>
            </m:accPr>
            <m:e>
              <m:r>
                <m:rPr>
                  <m:sty m:val="b"/>
                </m:rPr>
                <m:t>R</m:t>
              </m:r>
            </m:e>
          </m:acc>
          <m:r>
            <m:rPr>
              <m:sty m:val="p"/>
            </m:rPr>
            <m:t>=</m:t>
          </m:r>
          <m:f>
            <m:fPr>
              <m:type m:val="bar"/>
            </m:fPr>
            <m:num>
              <m:r>
                <m:t>1</m:t>
              </m:r>
            </m:num>
            <m:den>
              <m:r>
                <m:t>N</m:t>
              </m:r>
            </m:den>
          </m:f>
          <m:r>
            <m:rPr>
              <m:sty m:val="b"/>
            </m:rPr>
            <m:t>X</m:t>
          </m:r>
          <m:sSup>
            <m:e>
              <m:r>
                <m:rPr>
                  <m:sty m:val="b"/>
                </m:rPr>
                <m:t>X</m:t>
              </m:r>
            </m:e>
            <m:sup>
              <m:r>
                <m:t>H</m:t>
              </m:r>
            </m:sup>
          </m:sSup>
        </m:oMath>
      </m:oMathPara>
    </w:p>
    <w:p>
      <w:pPr>
        <w:pStyle w:val="FirstParagraph"/>
      </w:pPr>
      <w:r>
        <w:t xml:space="preserve">对于前相关原始 IQ 数据，由于正常 GNSS 信号在解扩前通常低于噪声底，因此</w:t>
      </w:r>
      <w:r>
        <w:t xml:space="preserve"> </w:t>
      </w:r>
      <m:oMath>
        <m:acc>
          <m:accPr>
            <m:chr m:val="̂"/>
          </m:accPr>
          <m:e>
            <m:r>
              <m:rPr>
                <m:sty m:val="b"/>
              </m:rPr>
              <m:t>R</m:t>
            </m:r>
          </m:e>
        </m:acc>
      </m:oMath>
      <w:r>
        <w:t xml:space="preserve"> </w:t>
      </w:r>
      <w:r>
        <w:t xml:space="preserve">主要反映干扰和噪声的空间统计特性。为提高矩阵求解稳定性，可加入对角加载：</w:t>
      </w:r>
    </w:p>
    <w:p>
      <w:pPr>
        <w:pStyle w:val="BodyText"/>
      </w:pPr>
      <m:oMathPara>
        <m:oMathParaPr>
          <m:jc m:val="center"/>
        </m:oMathParaPr>
        <m:oMath>
          <m:sSub>
            <m:e>
              <m:r>
                <m:rPr>
                  <m:sty m:val="b"/>
                </m:rPr>
                <m:t>R</m:t>
              </m:r>
            </m:e>
            <m:sub>
              <m:r>
                <m:t>δ</m:t>
              </m:r>
            </m:sub>
          </m:sSub>
          <m:r>
            <m:rPr>
              <m:sty m:val="p"/>
            </m:rPr>
            <m:t>=</m:t>
          </m:r>
          <m:acc>
            <m:accPr>
              <m:chr m:val="̂"/>
            </m:accPr>
            <m:e>
              <m:r>
                <m:rPr>
                  <m:sty m:val="b"/>
                </m:rPr>
                <m:t>R</m:t>
              </m:r>
            </m:e>
          </m:acc>
          <m:r>
            <m:rPr>
              <m:sty m:val="p"/>
            </m:rPr>
            <m:t>+</m:t>
          </m:r>
          <m:r>
            <m:t>δ</m:t>
          </m:r>
          <m:f>
            <m:fPr>
              <m:type m:val="bar"/>
            </m:fPr>
            <m:num>
              <m:r>
                <m:rPr>
                  <m:sty m:val="p"/>
                </m:rPr>
                <m:t>tr</m:t>
              </m:r>
              <m:d>
                <m:dPr>
                  <m:begChr m:val="("/>
                  <m:endChr m:val=")"/>
                  <m:sepChr m:val=""/>
                  <m:grow/>
                </m:dPr>
                <m:e>
                  <m:acc>
                    <m:accPr>
                      <m:chr m:val="̂"/>
                    </m:accPr>
                    <m:e>
                      <m:r>
                        <m:rPr>
                          <m:sty m:val="b"/>
                        </m:rPr>
                        <m:t>R</m:t>
                      </m:r>
                    </m:e>
                  </m:acc>
                </m:e>
              </m:d>
            </m:num>
            <m:den>
              <m:r>
                <m:t>M</m:t>
              </m:r>
            </m:den>
          </m:f>
          <m:r>
            <m:rPr>
              <m:sty m:val="b"/>
            </m:rPr>
            <m:t>I</m:t>
          </m:r>
        </m:oMath>
      </m:oMathPara>
    </w:p>
    <w:p>
      <w:pPr>
        <w:pStyle w:val="FirstParagraph"/>
      </w:pPr>
      <w:r>
        <w:t xml:space="preserve">MVDR 权值通过以下约束优化问题得到：</w:t>
      </w:r>
    </w:p>
    <w:p>
      <w:pPr>
        <w:pStyle w:val="BodyText"/>
      </w:pPr>
      <m:oMathPara>
        <m:oMathParaPr>
          <m:jc m:val="center"/>
        </m:oMathParaPr>
        <m:oMath>
          <m:limLow>
            <m:e>
              <m:r>
                <m:rPr>
                  <m:sty m:val="p"/>
                </m:rPr>
                <m:t>min</m:t>
              </m:r>
            </m:e>
            <m:lim>
              <m:r>
                <m:rPr>
                  <m:sty m:val="b"/>
                </m:rPr>
                <m:t>w</m:t>
              </m:r>
            </m:lim>
          </m:limLow>
          <m:r>
            <m:t> </m:t>
          </m:r>
          <m:sSup>
            <m:e>
              <m:r>
                <m:rPr>
                  <m:sty m:val="b"/>
                </m:rPr>
                <m:t>w</m:t>
              </m:r>
            </m:e>
            <m:sup>
              <m:r>
                <m:t>H</m:t>
              </m:r>
            </m:sup>
          </m:sSup>
          <m:sSub>
            <m:e>
              <m:r>
                <m:rPr>
                  <m:sty m:val="b"/>
                </m:rPr>
                <m:t>R</m:t>
              </m:r>
            </m:e>
            <m:sub>
              <m:r>
                <m:t>δ</m:t>
              </m:r>
            </m:sub>
          </m:sSub>
          <m:r>
            <m:rPr>
              <m:sty m:val="b"/>
            </m:rPr>
            <m:t>w</m:t>
          </m:r>
        </m:oMath>
      </m:oMathPara>
    </w:p>
    <w:p>
      <w:pPr>
        <w:pStyle w:val="FirstParagraph"/>
      </w:pPr>
      <w:r>
        <w:t xml:space="preserve">并满足</w:t>
      </w:r>
    </w:p>
    <w:p>
      <w:pPr>
        <w:pStyle w:val="BodyText"/>
      </w:pPr>
      <m:oMathPara>
        <m:oMathParaPr>
          <m:jc m:val="center"/>
        </m:oMathParaPr>
        <m:oMath>
          <m:sSup>
            <m:e>
              <m:r>
                <m:rPr>
                  <m:sty m:val="b"/>
                </m:rPr>
                <m:t>w</m:t>
              </m:r>
            </m:e>
            <m:sup>
              <m:r>
                <m:t>H</m:t>
              </m:r>
            </m:sup>
          </m:sSup>
          <m:sSub>
            <m:e>
              <m:acc>
                <m:accPr>
                  <m:chr m:val="̂"/>
                </m:accPr>
                <m:e>
                  <m:r>
                    <m:rPr>
                      <m:sty m:val="b"/>
                    </m:rPr>
                    <m:t>a</m:t>
                  </m:r>
                </m:e>
              </m:acc>
            </m:e>
            <m:sub>
              <m:r>
                <m:t>k</m:t>
              </m:r>
            </m:sub>
          </m:sSub>
          <m:r>
            <m:rPr>
              <m:sty m:val="p"/>
            </m:rPr>
            <m:t>=</m:t>
          </m:r>
          <m:r>
            <m:t>1</m:t>
          </m:r>
        </m:oMath>
      </m:oMathPara>
    </w:p>
    <w:p>
      <w:pPr>
        <w:pStyle w:val="FirstParagraph"/>
      </w:pPr>
      <w:r>
        <w:t xml:space="preserve">其中，约束条件保证目标卫星以单位空间增益通过，而输出功率最小化会自动压低协方差矩阵中能量较强的其他空间分量，因此强干扰方向会形成自适应零陷。</w:t>
      </w:r>
    </w:p>
    <w:p>
      <w:pPr>
        <w:pStyle w:val="BodyText"/>
      </w:pPr>
      <w:r>
        <w:t xml:space="preserve">对应的 MVDR 权值为</w:t>
      </w:r>
    </w:p>
    <w:p>
      <w:pPr>
        <w:pStyle w:val="BodyText"/>
      </w:pPr>
      <m:oMathPara>
        <m:oMathParaPr>
          <m:jc m:val="center"/>
        </m:oMathParaPr>
        <m:oMath>
          <m:sSub>
            <m:e>
              <m:r>
                <m:rPr>
                  <m:sty m:val="b"/>
                </m:rPr>
                <m:t>w</m:t>
              </m:r>
            </m:e>
            <m:sub>
              <m:r>
                <m:rPr>
                  <m:sty m:val="p"/>
                </m:rPr>
                <m:t>M</m:t>
              </m:r>
              <m:r>
                <m:rPr>
                  <m:sty m:val="p"/>
                </m:rPr>
                <m:t>V</m:t>
              </m:r>
              <m:r>
                <m:rPr>
                  <m:sty m:val="p"/>
                </m:rPr>
                <m:t>D</m:t>
              </m:r>
              <m:r>
                <m:rPr>
                  <m:sty m:val="p"/>
                </m:rPr>
                <m:t>R</m:t>
              </m:r>
            </m:sub>
          </m:sSub>
          <m:r>
            <m:rPr>
              <m:sty m:val="p"/>
            </m:rPr>
            <m:t>=</m:t>
          </m:r>
          <m:f>
            <m:fPr>
              <m:type m:val="bar"/>
            </m:fPr>
            <m:num>
              <m:sSubSup>
                <m:e>
                  <m:r>
                    <m:rPr>
                      <m:sty m:val="b"/>
                    </m:rPr>
                    <m:t>R</m:t>
                  </m:r>
                </m:e>
                <m:sub>
                  <m:r>
                    <m:t>δ</m:t>
                  </m:r>
                </m:sub>
                <m:sup>
                  <m:r>
                    <m:rPr>
                      <m:sty m:val="p"/>
                    </m:rPr>
                    <m:t>−</m:t>
                  </m:r>
                  <m:r>
                    <m:t>1</m:t>
                  </m:r>
                </m:sup>
              </m:sSubSup>
              <m:sSub>
                <m:e>
                  <m:acc>
                    <m:accPr>
                      <m:chr m:val="̂"/>
                    </m:accPr>
                    <m:e>
                      <m:r>
                        <m:rPr>
                          <m:sty m:val="b"/>
                        </m:rPr>
                        <m:t>a</m:t>
                      </m:r>
                    </m:e>
                  </m:acc>
                </m:e>
                <m:sub>
                  <m:r>
                    <m:t>k</m:t>
                  </m:r>
                </m:sub>
              </m:sSub>
            </m:num>
            <m:den>
              <m:sSubSup>
                <m:e>
                  <m:acc>
                    <m:accPr>
                      <m:chr m:val="̂"/>
                    </m:accPr>
                    <m:e>
                      <m:r>
                        <m:rPr>
                          <m:sty m:val="b"/>
                        </m:rPr>
                        <m:t>a</m:t>
                      </m:r>
                    </m:e>
                  </m:acc>
                </m:e>
                <m:sub>
                  <m:r>
                    <m:t>k</m:t>
                  </m:r>
                </m:sub>
                <m:sup>
                  <m:r>
                    <m:t>H</m:t>
                  </m:r>
                </m:sup>
              </m:sSubSup>
              <m:sSubSup>
                <m:e>
                  <m:r>
                    <m:rPr>
                      <m:sty m:val="b"/>
                    </m:rPr>
                    <m:t>R</m:t>
                  </m:r>
                </m:e>
                <m:sub>
                  <m:r>
                    <m:t>δ</m:t>
                  </m:r>
                </m:sub>
                <m:sup>
                  <m:r>
                    <m:rPr>
                      <m:sty m:val="p"/>
                    </m:rPr>
                    <m:t>−</m:t>
                  </m:r>
                  <m:r>
                    <m:t>1</m:t>
                  </m:r>
                </m:sup>
              </m:sSubSup>
              <m:sSub>
                <m:e>
                  <m:acc>
                    <m:accPr>
                      <m:chr m:val="̂"/>
                    </m:accPr>
                    <m:e>
                      <m:r>
                        <m:rPr>
                          <m:sty m:val="b"/>
                        </m:rPr>
                        <m:t>a</m:t>
                      </m:r>
                    </m:e>
                  </m:acc>
                </m:e>
                <m:sub>
                  <m:r>
                    <m:t>k</m:t>
                  </m:r>
                </m:sub>
              </m:sSub>
            </m:den>
          </m:f>
        </m:oMath>
      </m:oMathPara>
    </w:p>
    <w:p>
      <w:pPr>
        <w:pStyle w:val="FirstParagraph"/>
      </w:pPr>
      <w:r>
        <w:t xml:space="preserve">实际实现时无需显式求矩阵逆，可先求解</w:t>
      </w:r>
    </w:p>
    <w:p>
      <w:pPr>
        <w:pStyle w:val="BodyText"/>
      </w:pPr>
      <m:oMathPara>
        <m:oMathParaPr>
          <m:jc m:val="center"/>
        </m:oMathParaPr>
        <m:oMath>
          <m:sSub>
            <m:e>
              <m:r>
                <m:rPr>
                  <m:sty m:val="b"/>
                </m:rPr>
                <m:t>R</m:t>
              </m:r>
            </m:e>
            <m:sub>
              <m:r>
                <m:t>δ</m:t>
              </m:r>
            </m:sub>
          </m:sSub>
          <m:r>
            <m:rPr>
              <m:sty m:val="b"/>
            </m:rPr>
            <m:t>q</m:t>
          </m:r>
          <m:r>
            <m:rPr>
              <m:sty m:val="p"/>
            </m:rPr>
            <m:t>=</m:t>
          </m:r>
          <m:sSub>
            <m:e>
              <m:acc>
                <m:accPr>
                  <m:chr m:val="̂"/>
                </m:accPr>
                <m:e>
                  <m:r>
                    <m:rPr>
                      <m:sty m:val="b"/>
                    </m:rPr>
                    <m:t>a</m:t>
                  </m:r>
                </m:e>
              </m:acc>
            </m:e>
            <m:sub>
              <m:r>
                <m:t>k</m:t>
              </m:r>
            </m:sub>
          </m:sSub>
        </m:oMath>
      </m:oMathPara>
    </w:p>
    <w:p>
      <w:pPr>
        <w:pStyle w:val="FirstParagraph"/>
      </w:pPr>
      <w:r>
        <w:t xml:space="preserve">再完成归一化：</w:t>
      </w:r>
    </w:p>
    <w:p>
      <w:pPr>
        <w:pStyle w:val="BodyText"/>
      </w:pPr>
      <m:oMathPara>
        <m:oMathParaPr>
          <m:jc m:val="center"/>
        </m:oMathParaPr>
        <m:oMath>
          <m:sSub>
            <m:e>
              <m:r>
                <m:rPr>
                  <m:sty m:val="b"/>
                </m:rPr>
                <m:t>w</m:t>
              </m:r>
            </m:e>
            <m:sub>
              <m:r>
                <m:rPr>
                  <m:sty m:val="p"/>
                </m:rPr>
                <m:t>M</m:t>
              </m:r>
              <m:r>
                <m:rPr>
                  <m:sty m:val="p"/>
                </m:rPr>
                <m:t>V</m:t>
              </m:r>
              <m:r>
                <m:rPr>
                  <m:sty m:val="p"/>
                </m:rPr>
                <m:t>D</m:t>
              </m:r>
              <m:r>
                <m:rPr>
                  <m:sty m:val="p"/>
                </m:rPr>
                <m:t>R</m:t>
              </m:r>
            </m:sub>
          </m:sSub>
          <m:r>
            <m:rPr>
              <m:sty m:val="p"/>
            </m:rPr>
            <m:t>=</m:t>
          </m:r>
          <m:f>
            <m:fPr>
              <m:type m:val="bar"/>
            </m:fPr>
            <m:num>
              <m:r>
                <m:rPr>
                  <m:sty m:val="b"/>
                </m:rPr>
                <m:t>q</m:t>
              </m:r>
            </m:num>
            <m:den>
              <m:sSubSup>
                <m:e>
                  <m:acc>
                    <m:accPr>
                      <m:chr m:val="̂"/>
                    </m:accPr>
                    <m:e>
                      <m:r>
                        <m:rPr>
                          <m:sty m:val="b"/>
                        </m:rPr>
                        <m:t>a</m:t>
                      </m:r>
                    </m:e>
                  </m:acc>
                </m:e>
                <m:sub>
                  <m:r>
                    <m:t>k</m:t>
                  </m:r>
                </m:sub>
                <m:sup>
                  <m:r>
                    <m:t>H</m:t>
                  </m:r>
                </m:sup>
              </m:sSubSup>
              <m:r>
                <m:rPr>
                  <m:sty m:val="b"/>
                </m:rPr>
                <m:t>q</m:t>
              </m:r>
            </m:den>
          </m:f>
        </m:oMath>
      </m:oMathPara>
    </w:p>
    <w:p>
      <w:pPr>
        <w:pStyle w:val="FirstParagraph"/>
      </w:pPr>
      <w:r>
        <w:t xml:space="preserve">最终多通道合并输出为</w:t>
      </w:r>
    </w:p>
    <w:p>
      <w:pPr>
        <w:pStyle w:val="BodyText"/>
      </w:pPr>
      <m:oMathPara>
        <m:oMathParaPr>
          <m:jc m:val="center"/>
        </m:oMathParaPr>
        <m:oMath>
          <m:r>
            <m:rPr>
              <m:sty m:val="b"/>
            </m:rPr>
            <m:t>y</m:t>
          </m:r>
          <m:r>
            <m:rPr>
              <m:sty m:val="p"/>
            </m:rPr>
            <m:t>=</m:t>
          </m:r>
          <m:sSubSup>
            <m:e>
              <m:r>
                <m:rPr>
                  <m:sty m:val="b"/>
                </m:rPr>
                <m:t>w</m:t>
              </m:r>
            </m:e>
            <m:sub>
              <m:r>
                <m:rPr>
                  <m:sty m:val="p"/>
                </m:rPr>
                <m:t>M</m:t>
              </m:r>
              <m:r>
                <m:rPr>
                  <m:sty m:val="p"/>
                </m:rPr>
                <m:t>V</m:t>
              </m:r>
              <m:r>
                <m:rPr>
                  <m:sty m:val="p"/>
                </m:rPr>
                <m:t>D</m:t>
              </m:r>
              <m:r>
                <m:rPr>
                  <m:sty m:val="p"/>
                </m:rPr>
                <m:t>R</m:t>
              </m:r>
            </m:sub>
            <m:sup>
              <m:r>
                <m:t>H</m:t>
              </m:r>
            </m:sup>
          </m:sSubSup>
          <m:r>
            <m:rPr>
              <m:sty m:val="b"/>
            </m:rPr>
            <m:t>X</m:t>
          </m:r>
        </m:oMath>
      </m:oMathPara>
    </w:p>
    <w:bookmarkEnd w:id="21"/>
    <w:bookmarkStart w:id="22" w:name="双通道理解及-gnss-实现流程"/>
    <w:p>
      <w:pPr>
        <w:pStyle w:val="Heading2"/>
      </w:pPr>
      <w:r>
        <w:t xml:space="preserve">3. 双通道理解及 GNSS 实现流程</w:t>
      </w:r>
    </w:p>
    <w:p>
      <w:pPr>
        <w:pStyle w:val="FirstParagraph"/>
      </w:pPr>
      <w:r>
        <w:t xml:space="preserve">对于双天线系统，目标卫星导向矢量可写为</w:t>
      </w:r>
    </w:p>
    <w:p>
      <w:pPr>
        <w:pStyle w:val="BodyText"/>
      </w:pPr>
      <m:oMathPara>
        <m:oMathParaPr>
          <m:jc m:val="center"/>
        </m:oMathParaPr>
        <m:oMath>
          <m:sSub>
            <m:e>
              <m:acc>
                <m:accPr>
                  <m:chr m:val="̂"/>
                </m:accPr>
                <m:e>
                  <m:r>
                    <m:rPr>
                      <m:sty m:val="b"/>
                    </m:rPr>
                    <m:t>a</m:t>
                  </m:r>
                </m:e>
              </m:acc>
            </m:e>
            <m:sub>
              <m:r>
                <m:t>s</m:t>
              </m:r>
            </m:sub>
          </m:sSub>
          <m:r>
            <m:rPr>
              <m:sty m:val="p"/>
            </m:rPr>
            <m:t>=</m:t>
          </m:r>
          <m:d>
            <m:dPr>
              <m:begChr m:val="["/>
              <m:endChr m:val="]"/>
              <m:sepChr m:val=""/>
              <m:grow/>
            </m:dPr>
            <m:e>
              <m:m>
                <m:mPr>
                  <m:baseJc m:val="center"/>
                  <m:plcHide m:val="on"/>
                  <m:mcs>
                    <m:mc>
                      <m:mcPr>
                        <m:mcJc m:val="center"/>
                        <m:count m:val="1"/>
                      </m:mcPr>
                    </m:mc>
                  </m:mcs>
                </m:mPr>
                <m:mr>
                  <m:e>
                    <m:r>
                      <m:t>1</m:t>
                    </m:r>
                  </m:e>
                </m:mr>
                <m:mr>
                  <m:e>
                    <m:sSub>
                      <m:e>
                        <m:r>
                          <m:t>ρ</m:t>
                        </m:r>
                      </m:e>
                      <m:sub>
                        <m:r>
                          <m:t>s</m:t>
                        </m:r>
                      </m:sub>
                    </m:sSub>
                  </m:e>
                </m:mr>
              </m:m>
            </m:e>
          </m:d>
        </m:oMath>
      </m:oMathPara>
    </w:p>
    <w:p>
      <w:pPr>
        <w:pStyle w:val="FirstParagraph"/>
      </w:pPr>
      <w:r>
        <w:t xml:space="preserve">其中</w:t>
      </w:r>
      <w:r>
        <w:t xml:space="preserve"> </w:t>
      </w:r>
      <m:oMath>
        <m:sSub>
          <m:e>
            <m:r>
              <m:t>ρ</m:t>
            </m:r>
          </m:e>
          <m:sub>
            <m:r>
              <m:t>s</m:t>
            </m:r>
          </m:sub>
        </m:sSub>
      </m:oMath>
      <w:r>
        <w:t xml:space="preserve"> </w:t>
      </w:r>
      <w:r>
        <w:t xml:space="preserve">为第二通道相对于参考通道的复数幅相比。MVDR 最终仍然是将两个通道进行复数加权合并，但其权值必须满足</w:t>
      </w:r>
    </w:p>
    <w:p>
      <w:pPr>
        <w:pStyle w:val="BodyText"/>
      </w:pPr>
      <m:oMathPara>
        <m:oMathParaPr>
          <m:jc m:val="center"/>
        </m:oMathParaPr>
        <m:oMath>
          <m:sSup>
            <m:e>
              <m:r>
                <m:rPr>
                  <m:sty m:val="b"/>
                </m:rPr>
                <m:t>w</m:t>
              </m:r>
            </m:e>
            <m:sup>
              <m:r>
                <m:t>H</m:t>
              </m:r>
            </m:sup>
          </m:sSup>
          <m:sSub>
            <m:e>
              <m:acc>
                <m:accPr>
                  <m:chr m:val="̂"/>
                </m:accPr>
                <m:e>
                  <m:r>
                    <m:rPr>
                      <m:sty m:val="b"/>
                    </m:rPr>
                    <m:t>a</m:t>
                  </m:r>
                </m:e>
              </m:acc>
            </m:e>
            <m:sub>
              <m:r>
                <m:t>s</m:t>
              </m:r>
            </m:sub>
          </m:sSub>
          <m:r>
            <m:rPr>
              <m:sty m:val="p"/>
            </m:rPr>
            <m:t>=</m:t>
          </m:r>
          <m:r>
            <m:t>1</m:t>
          </m:r>
        </m:oMath>
      </m:oMathPara>
    </w:p>
    <w:p>
      <w:pPr>
        <w:pStyle w:val="FirstParagraph"/>
      </w:pPr>
      <w:r>
        <w:t xml:space="preserve">即合并后目标卫星保持单位增益。在满足该约束的所有权值中，MVDR 选择输出功率最小的一组，因此当两个通道中存在具有稳定幅相对应关系的强干扰时，权值会自动调整两路幅度和相位，使干扰分量尽可能相互抵消。</w:t>
      </w:r>
    </w:p>
    <w:p>
      <w:pPr>
        <w:pStyle w:val="BodyText"/>
      </w:pPr>
      <w:r>
        <w:t xml:space="preserve">在 GNSS 接收机中，可采用“Blind Nulling 启动、MVDR 稳态”的方式实现：首先利用 Blind Nulling 在未知目标导向矢量的情况下抑制强干扰，使接收机能够完成捕获和初始跟踪；目标卫星稳定跟踪后，复用其码 NCO 和载波 NCO 对各原始天线通道设置辅助 Prompt correlator，估计各通道相对幅相并形成</w:t>
      </w:r>
      <w:r>
        <w:t xml:space="preserve"> </w:t>
      </w:r>
      <m:oMath>
        <m:sSub>
          <m:e>
            <m:acc>
              <m:accPr>
                <m:chr m:val="̂"/>
              </m:accPr>
              <m:e>
                <m:r>
                  <m:rPr>
                    <m:sty m:val="b"/>
                  </m:rPr>
                  <m:t>a</m:t>
                </m:r>
              </m:e>
            </m:acc>
          </m:e>
          <m:sub>
            <m:r>
              <m:t>k</m:t>
            </m:r>
          </m:sub>
        </m:sSub>
      </m:oMath>
      <w:r>
        <w:t xml:space="preserve">；随后计算多通道协方差矩阵和 MVDR 权值，并使用新的权值完成阵列合并。</w:t>
      </w:r>
    </w:p>
    <w:p>
      <w:pPr>
        <w:pStyle w:val="BodyText"/>
      </w:pPr>
      <w:r>
        <w:t xml:space="preserve">需要注意，不同卫星具有不同的空间导向矢量，因此一组前相关 MVDR 权值只能显式保护一个目标方向；若需要对多颗卫星分别优化，更适合在相关后按卫星计算独立权值。工程实现中还应通过时间平滑降低导向矢量估计误差，在矩阵条件数较大时采用对角加载，并限制权值更新速率，避免给后级 PLL 引入明显相位跳变。</w:t>
      </w:r>
    </w:p>
    <w:bookmarkEnd w:id="22"/>
    <w:bookmarkEnd w:id="23"/>
    <w:sectPr>
      <w:footerReference r:id="rId9" w:type="default"/>
      <w:pgMar w:bottom="1440" w:left="1701" w:right="1474"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20"/>
      <w:jc w:val="both"/>
    </w:pPr>
    <w:rPr>
      <w:rFonts w:ascii="Times New Roman" w:eastAsia="宋体"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2026-09-02T04:30:09Z</dcterms:created>
  <dcterms:modified xsi:type="dcterms:W3CDTF">2026-09-02T04:30:09Z</dcterms:modified>
</cp:coreProperties>
</file>

<file path=docProps/custom.xml><?xml version="1.0" encoding="utf-8"?>
<Properties xmlns="http://schemas.openxmlformats.org/officeDocument/2006/custom-properties" xmlns:vt="http://schemas.openxmlformats.org/officeDocument/2006/docPropsVTypes"/>
</file>