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pPr>
      <w:r>
        <w:rPr>
          <w:rFonts w:ascii="Times New Roman" w:hAnsi="Times New Roman" w:cs="Times New Roman" w:eastAsia="宋体"/>
          <w:b/>
          <w:i w:val="0"/>
          <w:sz w:val="30"/>
        </w:rPr>
        <w:t>5.2 MVDR波束形成算法</w:t>
      </w:r>
    </w:p>
    <w:p>
      <w:pPr>
        <w:spacing w:line="360" w:lineRule="auto" w:before="0" w:after="0"/>
        <w:jc w:val="both"/>
        <w:ind w:firstLineChars="200" w:firstLine="480"/>
      </w:pPr>
      <w:r>
        <w:rPr>
          <w:rFonts w:ascii="Times New Roman" w:hAnsi="Times New Roman" w:cs="Times New Roman" w:eastAsia="宋体"/>
          <w:b w:val="0"/>
          <w:i w:val="0"/>
          <w:sz w:val="24"/>
        </w:rPr>
        <w:t>最小方差无失真响应（Minimum Variance Distortionless Response，MVDR）波束形成是一类典型的自适应阵列处理方法。其核心思想是在保证目标卫星信号按照设定增益无失真通过的条件下，使阵列输出总功率最小，从而利用多天线接收信号之间的空间差异自适应抑制来自其他方向的干扰和相关噪声。对于GNSS接收场景，期望卫星信号通常位于热噪声底以下，而较强干扰会在多通道协方差矩阵中形成明显的空间相关结构，因此MVDR具备利用空间自由度抑制干扰的理论基础。</w:t>
      </w:r>
    </w:p>
    <w:p>
      <w:pPr>
        <w:spacing w:line="360" w:lineRule="auto" w:before="0" w:after="0"/>
        <w:jc w:val="both"/>
        <w:ind w:firstLineChars="200" w:firstLine="480"/>
      </w:pPr>
      <w:r>
        <w:rPr>
          <w:rFonts w:ascii="Times New Roman" w:hAnsi="Times New Roman" w:cs="Times New Roman" w:eastAsia="宋体"/>
          <w:b w:val="0"/>
          <w:i w:val="0"/>
          <w:sz w:val="24"/>
        </w:rPr>
        <w:t>与不显式约束目标方向的盲零陷算法相比，MVDR在权值求解过程中引入目标卫星导向矢量，可在干扰抑制的同时对目标卫星建立无失真约束，因此理论上具有更好的目标信号保持能力。但该优势建立在导向矢量较准确、多通道幅相关系稳定以及协方差矩阵估计可靠的基础上。对于手机等小型终端，还需要进一步考虑阵元间距较小、天线方向图差异、射频通道固定相位差与群时延、终端姿态变化以及多颗卫星入射方向不同等工程因素。</w:t>
      </w:r>
    </w:p>
    <w:p>
      <w:pPr>
        <w:pStyle w:val="Heading3"/>
      </w:pPr>
      <w:r>
        <w:rPr>
          <w:rFonts w:ascii="Times New Roman" w:hAnsi="Times New Roman" w:cs="Times New Roman" w:eastAsia="宋体"/>
          <w:b/>
          <w:i w:val="0"/>
          <w:sz w:val="28"/>
        </w:rPr>
        <w:t>5.2.1 基本原理</w:t>
      </w:r>
    </w:p>
    <w:p>
      <w:pPr>
        <w:spacing w:line="360" w:lineRule="auto" w:before="0" w:after="0"/>
        <w:jc w:val="both"/>
        <w:ind w:firstLineChars="200" w:firstLine="480"/>
      </w:pPr>
      <w:r>
        <w:rPr>
          <w:rFonts w:ascii="Times New Roman" w:hAnsi="Times New Roman" w:cs="Times New Roman" w:eastAsia="宋体"/>
          <w:b w:val="0"/>
          <w:i w:val="0"/>
          <w:sz w:val="24"/>
        </w:rPr>
        <w:t>设系统包含M个同步接收通道，在某一窄带等效模型下，第n个采样时刻的阵列输入向量可表示为目标卫星信号、K个干扰信号以及通道噪声的叠加：</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x</m:t>
                    </m:r>
                  </m:e>
                  <m:sub>
                    <m:r>
                      <m:t xml:space="preserve">n</m:t>
                    </m:r>
                  </m:sub>
                </m:sSub>
                <m:r>
                  <m:t xml:space="preserve">=</m:t>
                </m:r>
                <m:sSub>
                  <m:sSubPr/>
                  <m:e>
                    <m:r>
                      <m:t xml:space="preserve">a</m:t>
                    </m:r>
                  </m:e>
                  <m:sub>
                    <m:r>
                      <m:t xml:space="preserve">s</m:t>
                    </m:r>
                  </m:sub>
                </m:sSub>
                <m:sSub>
                  <m:sSubPr/>
                  <m:e>
                    <m:r>
                      <m:t xml:space="preserve">s</m:t>
                    </m:r>
                  </m:e>
                  <m:sub>
                    <m:r>
                      <m:t xml:space="preserve">n</m:t>
                    </m:r>
                  </m:sub>
                </m:sSub>
                <m:r>
                  <m:t xml:space="preserve">+</m:t>
                </m:r>
                <m:nary>
                  <m:naryPr>
                    <m:chr m:val="∑"/>
                    <m:limLoc m:val="undOvr"/>
                  </m:naryPr>
                  <m:sub>
                    <m:r>
                      <m:t xml:space="preserve">k=1</m:t>
                    </m:r>
                  </m:sub>
                  <m:sup>
                    <m:r>
                      <m:t xml:space="preserve">K</m:t>
                    </m:r>
                  </m:sup>
                  <m:e>
                    <m:sSub>
                      <m:sSubPr/>
                      <m:e>
                        <m:r>
                          <m:t xml:space="preserve">a</m:t>
                        </m:r>
                      </m:e>
                      <m:sub>
                        <m:r>
                          <m:t xml:space="preserve">j,k</m:t>
                        </m:r>
                      </m:sub>
                    </m:sSub>
                    <m:sSub>
                      <m:sSubPr/>
                      <m:e>
                        <m:r>
                          <m:t xml:space="preserve">j</m:t>
                        </m:r>
                      </m:e>
                      <m:sub>
                        <m:r>
                          <m:t xml:space="preserve">k,n</m:t>
                        </m:r>
                      </m:sub>
                    </m:sSub>
                  </m:e>
                </m:nary>
                <m:r>
                  <m:t xml:space="preserve">+</m:t>
                </m:r>
                <m:sSub>
                  <m:sSubPr/>
                  <m:e>
                    <m:r>
                      <m:t xml:space="preserve">n</m:t>
                    </m:r>
                  </m:e>
                  <m:sub>
                    <m:r>
                      <m:t xml:space="preserve">n</m:t>
                    </m:r>
                  </m:sub>
                </m:sSub>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w:t>
            </w:r>
          </w:p>
        </w:tc>
      </w:tr>
    </w:tbl>
    <w:p>
      <w:pPr>
        <w:spacing w:line="360" w:lineRule="auto" w:before="0" w:after="0"/>
        <w:jc w:val="both"/>
        <w:ind w:firstLineChars="200" w:firstLine="480"/>
      </w:pPr>
      <w:r>
        <w:rPr>
          <w:rFonts w:ascii="Times New Roman" w:hAnsi="Times New Roman" w:cs="Times New Roman" w:eastAsia="宋体"/>
          <w:b w:val="0"/>
          <w:i w:val="0"/>
          <w:sz w:val="24"/>
        </w:rPr>
        <w:t>式（5-1）中的阵列观测向量由M路同步通道组成，其中包含目标卫星分量、各干扰源分量以及通道噪声。目标卫星导向矢量描述该卫星在不同天线通道上的相对幅度和相位响应，是MVDR区分“需要保留的目标信号”和“需要抑制的其他空间分量”的关键先验信息。</w:t>
      </w:r>
    </w:p>
    <w:p>
      <w:pPr>
        <w:spacing w:line="360" w:lineRule="auto" w:before="0" w:after="0"/>
        <w:jc w:val="both"/>
        <w:ind w:firstLineChars="200" w:firstLine="480"/>
      </w:pPr>
      <w:r>
        <w:rPr>
          <w:rFonts w:ascii="Times New Roman" w:hAnsi="Times New Roman" w:cs="Times New Roman" w:eastAsia="宋体"/>
          <w:b w:val="0"/>
          <w:i w:val="0"/>
          <w:sz w:val="24"/>
        </w:rPr>
        <w:t>阵列输入协方差矩阵可表示为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R</m:t>
                    </m:r>
                  </m:e>
                  <m:sub>
                    <m:r>
                      <m:t xml:space="preserve">x</m:t>
                    </m:r>
                  </m:sub>
                </m:sSub>
                <m:r>
                  <m:t xml:space="preserve">=</m:t>
                </m:r>
                <m:r>
                  <m:t xml:space="preserve">E</m:t>
                </m:r>
                <m:r>
                  <m:t xml:space="preserve">{</m:t>
                </m:r>
                <m:r>
                  <m:t xml:space="preserve">x</m:t>
                </m:r>
                <m:sSup>
                  <m:sSupPr/>
                  <m:e>
                    <m:r>
                      <m:t xml:space="preserve">x</m:t>
                    </m:r>
                  </m:e>
                  <m:sup>
                    <m:r>
                      <m:t xml:space="preserve">H</m:t>
                    </m:r>
                  </m:sup>
                </m:sSup>
                <m:r>
                  <m:t xml:space="preserve">}</m:t>
                </m:r>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（5-2）</w:t>
            </w:r>
          </w:p>
        </w:tc>
      </w:tr>
    </w:tbl>
    <w:p>
      <w:pPr>
        <w:spacing w:line="360" w:lineRule="auto" w:before="0" w:after="0"/>
        <w:jc w:val="both"/>
        <w:ind w:firstLineChars="200" w:firstLine="480"/>
      </w:pPr>
      <w:r>
        <w:rPr>
          <w:rFonts w:ascii="Times New Roman" w:hAnsi="Times New Roman" w:cs="Times New Roman" w:eastAsia="宋体"/>
          <w:b w:val="0"/>
          <w:i w:val="0"/>
          <w:sz w:val="24"/>
        </w:rPr>
        <w:t>实际实现中通常采用有限长度数据进行样本协方差估计。设协方差更新窗口包含N个快拍，则可写为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R̂</m:t>
                    </m:r>
                  </m:e>
                  <m:sub>
                    <m:r>
                      <m:t xml:space="preserve">x</m:t>
                    </m:r>
                  </m:sub>
                </m:sSub>
                <m:r>
                  <m:t xml:space="preserve">=</m:t>
                </m:r>
                <m:f>
                  <m:num>
                    <m:r>
                      <m:t xml:space="preserve">1</m:t>
                    </m:r>
                  </m:num>
                  <m:den>
                    <m:r>
                      <m:t xml:space="preserve">N</m:t>
                    </m:r>
                  </m:den>
                </m:f>
                <m:nary>
                  <m:naryPr>
                    <m:chr m:val="∑"/>
                    <m:limLoc m:val="undOvr"/>
                  </m:naryPr>
                  <m:sub>
                    <m:r>
                      <m:t xml:space="preserve">n=0</m:t>
                    </m:r>
                  </m:sub>
                  <m:sup>
                    <m:r>
                      <m:t xml:space="preserve">N-1</m:t>
                    </m:r>
                  </m:sup>
                  <m:e>
                    <m:sSub>
                      <m:sSubPr/>
                      <m:e>
                        <m:r>
                          <m:t xml:space="preserve">x</m:t>
                        </m:r>
                      </m:e>
                      <m:sub>
                        <m:r>
                          <m:t xml:space="preserve">n</m:t>
                        </m:r>
                      </m:sub>
                    </m:sSub>
                    <m:sSup>
                      <m:sSupPr/>
                      <m:e>
                        <m:sSub>
                          <m:sSubPr/>
                          <m:e>
                            <m:r>
                              <m:t xml:space="preserve">x</m:t>
                            </m:r>
                          </m:e>
                          <m:sub>
                            <m:r>
                              <m:t xml:space="preserve">n</m:t>
                            </m:r>
                          </m:sub>
                        </m:sSub>
                      </m:e>
                      <m:sup>
                        <m:r>
                          <m:t xml:space="preserve">H</m:t>
                        </m:r>
                      </m:sup>
                    </m:sSup>
                  </m:e>
                </m:nary>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（5-3）</w:t>
            </w:r>
          </w:p>
        </w:tc>
      </w:tr>
    </w:tbl>
    <w:p>
      <w:pPr>
        <w:spacing w:line="360" w:lineRule="auto" w:before="0" w:after="0"/>
        <w:jc w:val="both"/>
        <w:ind w:firstLineChars="200" w:firstLine="480"/>
      </w:pPr>
      <w:r>
        <w:rPr>
          <w:rFonts w:ascii="Times New Roman" w:hAnsi="Times New Roman" w:cs="Times New Roman" w:eastAsia="宋体"/>
          <w:b w:val="0"/>
          <w:i w:val="0"/>
          <w:sz w:val="24"/>
        </w:rPr>
        <w:t>对于前端原始采样，单颗GNSS信号通常明显低于噪声底，因此在存在较强干扰时，样本协方差矩阵主要由干扰和噪声决定。该特性使得协方差估计无需先准确恢复GNSS导航数据即可获得干扰空间统计特性，但同时要求多通道采样具有足够好的时间同步关系。</w:t>
      </w:r>
    </w:p>
    <w:p>
      <w:pPr>
        <w:spacing w:line="360" w:lineRule="auto" w:before="0" w:after="0"/>
        <w:jc w:val="both"/>
        <w:ind w:firstLineChars="200" w:firstLine="480"/>
      </w:pPr>
      <w:r>
        <w:rPr>
          <w:rFonts w:ascii="Times New Roman" w:hAnsi="Times New Roman" w:cs="Times New Roman" w:eastAsia="宋体"/>
          <w:b w:val="0"/>
          <w:i w:val="0"/>
          <w:sz w:val="24"/>
        </w:rPr>
        <w:t>MVDR的优化目标是在目标卫星方向保持单位响应，同时最小化阵列输出功率，可表示为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m>
                  <m:mPr/>
                  <m:mr>
                    <m:e>
                      <m:sSub>
                        <m:sSubPr/>
                        <m:e>
                          <m:r>
                            <m:t xml:space="preserve">min</m:t>
                          </m:r>
                        </m:e>
                        <m:sub>
                          <m:r>
                            <m:t xml:space="preserve">w</m:t>
                          </m:r>
                        </m:sub>
                      </m:sSub>
                      <m:sSup>
                        <m:sSupPr/>
                        <m:e>
                          <m:r>
                            <m:t xml:space="preserve">w</m:t>
                          </m:r>
                        </m:e>
                        <m:sup>
                          <m:r>
                            <m:t xml:space="preserve">H</m:t>
                          </m:r>
                        </m:sup>
                      </m:sSup>
                      <m:sSub>
                        <m:sSubPr/>
                        <m:e>
                          <m:r>
                            <m:t xml:space="preserve">R̂</m:t>
                          </m:r>
                        </m:e>
                        <m:sub>
                          <m:r>
                            <m:t xml:space="preserve">x</m:t>
                          </m:r>
                        </m:sub>
                      </m:sSub>
                      <m:r>
                        <m:t xml:space="preserve">w</m:t>
                      </m:r>
                    </m:e>
                  </m:mr>
                  <m:mr>
                    <m:e>
                      <m:r>
                        <m:t xml:space="preserve">s.t.  </m:t>
                      </m:r>
                      <m:sSup>
                        <m:sSupPr/>
                        <m:e>
                          <m:r>
                            <m:t xml:space="preserve">w</m:t>
                          </m:r>
                        </m:e>
                        <m:sup>
                          <m:r>
                            <m:t xml:space="preserve">H</m:t>
                          </m:r>
                        </m:sup>
                      </m:sSup>
                      <m:sSub>
                        <m:sSubPr/>
                        <m:e>
                          <m:r>
                            <m:t xml:space="preserve">a</m:t>
                          </m:r>
                        </m:e>
                        <m:sub>
                          <m:r>
                            <m:t xml:space="preserve">s</m:t>
                          </m:r>
                        </m:sub>
                      </m:sSub>
                      <m:r>
                        <m:t xml:space="preserve">=1</m:t>
                      </m:r>
                    </m:e>
                  </m:mr>
                </m:m>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（5-4）</w:t>
            </w:r>
          </w:p>
        </w:tc>
      </w:tr>
    </w:tbl>
    <w:p>
      <w:pPr>
        <w:spacing w:line="360" w:lineRule="auto" w:before="0" w:after="0"/>
        <w:jc w:val="both"/>
        <w:ind w:firstLineChars="200" w:firstLine="480"/>
      </w:pPr>
      <w:r>
        <w:rPr>
          <w:rFonts w:ascii="Times New Roman" w:hAnsi="Times New Roman" w:cs="Times New Roman" w:eastAsia="宋体"/>
          <w:b w:val="0"/>
          <w:i w:val="0"/>
          <w:sz w:val="24"/>
        </w:rPr>
        <w:t>在协方差矩阵可逆的条件下，式（5-4）的闭式解为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w</m:t>
                    </m:r>
                  </m:e>
                  <m:sub>
                    <m:r>
                      <m:t xml:space="preserve">MVDR</m:t>
                    </m:r>
                  </m:sub>
                </m:sSub>
                <m:r>
                  <m:t xml:space="preserve">=</m:t>
                </m:r>
                <m:f>
                  <m:num>
                    <m:sSup>
                      <m:sSupPr/>
                      <m:e>
                        <m:sSub>
                          <m:sSubPr/>
                          <m:e>
                            <m:r>
                              <m:t xml:space="preserve">R̂</m:t>
                            </m:r>
                          </m:e>
                          <m:sub>
                            <m:r>
                              <m:t xml:space="preserve">x</m:t>
                            </m:r>
                          </m:sub>
                        </m:sSub>
                      </m:e>
                      <m:sup>
                        <m:r>
                          <m:t xml:space="preserve">−1</m:t>
                        </m:r>
                      </m:sup>
                    </m:sSup>
                    <m:sSub>
                      <m:sSubPr/>
                      <m:e>
                        <m:r>
                          <m:t xml:space="preserve">a</m:t>
                        </m:r>
                      </m:e>
                      <m:sub>
                        <m:r>
                          <m:t xml:space="preserve">s</m:t>
                        </m:r>
                      </m:sub>
                    </m:sSub>
                  </m:num>
                  <m:den>
                    <m:sSup>
                      <m:sSupPr/>
                      <m:e>
                        <m:sSub>
                          <m:sSubPr/>
                          <m:e>
                            <m:r>
                              <m:t xml:space="preserve">a</m:t>
                            </m:r>
                          </m:e>
                          <m:sub>
                            <m:r>
                              <m:t xml:space="preserve">s</m:t>
                            </m:r>
                          </m:sub>
                        </m:sSub>
                      </m:e>
                      <m:sup>
                        <m:r>
                          <m:t xml:space="preserve">H</m:t>
                        </m:r>
                      </m:sup>
                    </m:sSup>
                    <m:sSup>
                      <m:sSupPr/>
                      <m:e>
                        <m:sSub>
                          <m:sSubPr/>
                          <m:e>
                            <m:r>
                              <m:t xml:space="preserve">R̂</m:t>
                            </m:r>
                          </m:e>
                          <m:sub>
                            <m:r>
                              <m:t xml:space="preserve">x</m:t>
                            </m:r>
                          </m:sub>
                        </m:sSub>
                      </m:e>
                      <m:sup>
                        <m:r>
                          <m:t xml:space="preserve">−1</m:t>
                        </m:r>
                      </m:sup>
                    </m:sSup>
                    <m:sSub>
                      <m:sSubPr/>
                      <m:e>
                        <m:r>
                          <m:t xml:space="preserve">a</m:t>
                        </m:r>
                      </m:e>
                      <m:sub>
                        <m:r>
                          <m:t xml:space="preserve">s</m:t>
                        </m:r>
                      </m:sub>
                    </m:sSub>
                  </m:den>
                </m:f>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（5-5）</w:t>
            </w:r>
          </w:p>
        </w:tc>
      </w:tr>
    </w:tbl>
    <w:p>
      <w:pPr>
        <w:spacing w:line="360" w:lineRule="auto" w:before="0" w:after="0"/>
        <w:jc w:val="both"/>
        <w:ind w:firstLineChars="200" w:firstLine="480"/>
      </w:pPr>
      <w:r>
        <w:rPr>
          <w:rFonts w:ascii="Times New Roman" w:hAnsi="Times New Roman" w:cs="Times New Roman" w:eastAsia="宋体"/>
          <w:b w:val="0"/>
          <w:i w:val="0"/>
          <w:sz w:val="24"/>
        </w:rPr>
        <w:t>由式（5-5）可知，权值由两部分共同决定：协方差矩阵用于描述当前干扰和噪声的空间分布，目标导向矢量用于规定无失真约束方向。权值作用于多通道输入后，阵列输出为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y</m:t>
                    </m:r>
                  </m:e>
                  <m:sub>
                    <m:r>
                      <m:t xml:space="preserve">n</m:t>
                    </m:r>
                  </m:sub>
                </m:sSub>
                <m:r>
                  <m:t xml:space="preserve">=</m:t>
                </m:r>
                <m:sSup>
                  <m:sSupPr/>
                  <m:e>
                    <m:r>
                      <m:t xml:space="preserve">w</m:t>
                    </m:r>
                  </m:e>
                  <m:sup>
                    <m:r>
                      <m:t xml:space="preserve">H</m:t>
                    </m:r>
                  </m:sup>
                </m:sSup>
                <m:sSub>
                  <m:sSubPr/>
                  <m:e>
                    <m:r>
                      <m:t xml:space="preserve">x</m:t>
                    </m:r>
                  </m:e>
                  <m:sub>
                    <m:r>
                      <m:t xml:space="preserve">n</m:t>
                    </m:r>
                  </m:sub>
                </m:sSub>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（5-6）</w:t>
            </w:r>
          </w:p>
        </w:tc>
      </w:tr>
    </w:tbl>
    <w:p>
      <w:pPr>
        <w:spacing w:line="360" w:lineRule="auto" w:before="0" w:after="0"/>
        <w:jc w:val="both"/>
        <w:ind w:firstLineChars="200" w:firstLine="480"/>
      </w:pPr>
      <w:r>
        <w:rPr>
          <w:rFonts w:ascii="Times New Roman" w:hAnsi="Times New Roman" w:cs="Times New Roman" w:eastAsia="宋体"/>
          <w:b w:val="0"/>
          <w:i w:val="0"/>
          <w:sz w:val="24"/>
        </w:rPr>
        <w:t>当不存在明显干扰且各通道噪声近似独立同分布时，协方差矩阵趋近于单位阵的比例形式，此时MVDR权值退化为针对目标卫星导向矢量的常规相干合并。</w:t>
      </w:r>
    </w:p>
    <w:p>
      <w:pPr>
        <w:spacing w:line="360" w:lineRule="auto" w:before="0" w:after="0"/>
        <w:jc w:val="both"/>
        <w:ind w:firstLineChars="200" w:firstLine="480"/>
      </w:pPr>
      <w:r>
        <w:rPr>
          <w:rFonts w:ascii="Times New Roman" w:hAnsi="Times New Roman" w:cs="Times New Roman" w:eastAsia="宋体"/>
          <w:b w:val="0"/>
          <w:i w:val="0"/>
          <w:sz w:val="24"/>
        </w:rPr>
        <w:t>当存在空间相关的强干扰时，权值会在满足目标卫星约束的同时，自适应调整各通道幅相关系，在干扰方向形成零陷。因此，MVDR兼具目标信号相干保持与空间干扰抑制能力。</w:t>
      </w:r>
    </w:p>
    <w:p>
      <w:pPr>
        <w:spacing w:line="360" w:lineRule="auto" w:before="0" w:after="0"/>
        <w:jc w:val="both"/>
        <w:ind w:firstLineChars="200" w:firstLine="480"/>
      </w:pPr>
      <w:r>
        <w:rPr>
          <w:rFonts w:ascii="Times New Roman" w:hAnsi="Times New Roman" w:cs="Times New Roman" w:eastAsia="宋体"/>
          <w:b w:val="0"/>
          <w:i w:val="0"/>
          <w:sz w:val="24"/>
        </w:rPr>
        <w:t>需要注意的是，GNSS接收机通常同时跟踪多颗卫星，而不同卫星具有不同的入射方向和导向矢量。单组MVDR权值只能对指定导向矢量施加严格的无失真约束，因此若在ACQ/TRK之前直接使用一组固定权值形成单路输出，该权值不可能同时对所有卫星均保持最优。工程实现时需要结合处理位置决定采用逐星权值、多个并行波束，或通过LCMV等多约束方法同时保护多个方向。对于资源受限的消费级终端，逐星相关器输出级处理或“前级盲抑制、上星后逐星MVDR”的分阶段路线更具研究价值。</w:t>
      </w:r>
    </w:p>
    <w:p>
      <w:pPr>
        <w:pStyle w:val="Heading3"/>
      </w:pPr>
      <w:r>
        <w:rPr>
          <w:rFonts w:ascii="Times New Roman" w:hAnsi="Times New Roman" w:cs="Times New Roman" w:eastAsia="宋体"/>
          <w:b/>
          <w:i w:val="0"/>
          <w:sz w:val="28"/>
        </w:rPr>
        <w:t>5.2.2 导向矢量获取</w:t>
      </w:r>
    </w:p>
    <w:p>
      <w:pPr>
        <w:spacing w:line="360" w:lineRule="auto" w:before="0" w:after="0"/>
        <w:jc w:val="both"/>
        <w:ind w:firstLineChars="200" w:firstLine="480"/>
      </w:pPr>
      <w:r>
        <w:rPr>
          <w:rFonts w:ascii="Times New Roman" w:hAnsi="Times New Roman" w:cs="Times New Roman" w:eastAsia="宋体"/>
          <w:b w:val="0"/>
          <w:i w:val="0"/>
          <w:sz w:val="24"/>
        </w:rPr>
        <w:t>导向矢量获取是MVDR在GNSS场景中能否实际落地的关键环节。理想阵列模型中，导向矢量通常由阵元几何位置和信号入射方向直接计算，但在真实终端中，各通道响应不仅包含自由空间传播造成的几何相位差，还叠加天线方向图、天线相位中心、射频通道固定相位差、群时延以及幅度不一致等因素。因此，实际使用的导向矢量应尽可能反映“卫星信号从天线到当前处理节点”的完整相对通道响应，而不能仅由理想阵列几何关系代替。</w:t>
      </w:r>
    </w:p>
    <w:p>
      <w:pPr>
        <w:spacing w:line="360" w:lineRule="auto" w:before="0" w:after="0"/>
        <w:jc w:val="both"/>
        <w:ind w:firstLineChars="200" w:firstLine="480"/>
      </w:pPr>
      <w:r>
        <w:rPr>
          <w:rFonts w:ascii="Times New Roman" w:hAnsi="Times New Roman" w:cs="Times New Roman" w:eastAsia="宋体"/>
          <w:b w:val="0"/>
          <w:i w:val="0"/>
          <w:sz w:val="24"/>
        </w:rPr>
        <w:t>若以第1路天线作为参考，理想远场条件下第m路天线相对于参考点的传播时延可近似表示为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τ</m:t>
                    </m:r>
                  </m:e>
                  <m:sub>
                    <m:r>
                      <m:t xml:space="preserve">m</m:t>
                    </m:r>
                  </m:sub>
                </m:sSub>
                <m:r>
                  <m:t xml:space="preserve">=</m:t>
                </m:r>
                <m:f>
                  <m:num>
                    <m:sSup>
                      <m:sSupPr/>
                      <m:e>
                        <m:sSub>
                          <m:sSubPr/>
                          <m:e>
                            <m:r>
                              <m:t xml:space="preserve">d</m:t>
                            </m:r>
                          </m:e>
                          <m:sub>
                            <m:r>
                              <m:t xml:space="preserve">m</m:t>
                            </m:r>
                          </m:sub>
                        </m:sSub>
                      </m:e>
                      <m:sup>
                        <m:r>
                          <m:t xml:space="preserve">T</m:t>
                        </m:r>
                      </m:sup>
                    </m:sSup>
                    <m:sSub>
                      <m:sSubPr/>
                      <m:e>
                        <m:r>
                          <m:t xml:space="preserve">u</m:t>
                        </m:r>
                      </m:e>
                      <m:sub>
                        <m:r>
                          <m:t xml:space="preserve">s</m:t>
                        </m:r>
                      </m:sub>
                    </m:sSub>
                  </m:num>
                  <m:den>
                    <m:r>
                      <m:t xml:space="preserve">c</m:t>
                    </m:r>
                  </m:den>
                </m:f>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（5-7）</w:t>
            </w:r>
          </w:p>
        </w:tc>
      </w:tr>
    </w:tbl>
    <w:p>
      <w:pPr>
        <w:spacing w:line="360" w:lineRule="auto" w:before="0" w:after="0"/>
        <w:jc w:val="both"/>
        <w:ind w:firstLineChars="200" w:firstLine="480"/>
      </w:pPr>
      <w:r>
        <w:rPr>
          <w:rFonts w:ascii="Times New Roman" w:hAnsi="Times New Roman" w:cs="Times New Roman" w:eastAsia="宋体"/>
          <w:b w:val="0"/>
          <w:i w:val="0"/>
          <w:sz w:val="24"/>
        </w:rPr>
        <w:t>式（5-7）中，分子由第m个天线相对于参考天线的基线向量与目标卫星单位入射方向向量的内积构成，c为光速。在考虑通道幅度响应后，目标卫星的理想导向矢量可写为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m>
                  <m:mPr/>
                  <m:mr>
                    <m:e>
                      <m:sSub>
                        <m:sSubPr/>
                        <m:e>
                          <m:r>
                            <m:t xml:space="preserve">a</m:t>
                          </m:r>
                        </m:e>
                        <m:sub>
                          <m:r>
                            <m:t xml:space="preserve">s</m:t>
                          </m:r>
                        </m:sub>
                      </m:sSub>
                      <m:r>
                        <m:t xml:space="preserve">=</m:t>
                      </m:r>
                      <m:sSup>
                        <m:sSupPr/>
                        <m:e>
                          <m:d>
                            <m:dPr>
                              <m:begChr m:val="["/>
                              <m:endChr m:val="]"/>
                            </m:dPr>
                            <m:e>
                              <m:sSub>
                                <m:sSubPr/>
                                <m:e>
                                  <m:r>
                                    <m:t xml:space="preserve">a</m:t>
                                  </m:r>
                                </m:e>
                                <m:sub>
                                  <m:r>
                                    <m:t xml:space="preserve">1</m:t>
                                  </m:r>
                                </m:sub>
                              </m:sSub>
                              <m:r>
                                <m:t xml:space="preserve">，</m:t>
                              </m:r>
                              <m:sSub>
                                <m:sSubPr/>
                                <m:e>
                                  <m:r>
                                    <m:t xml:space="preserve">a</m:t>
                                  </m:r>
                                </m:e>
                                <m:sub>
                                  <m:r>
                                    <m:t xml:space="preserve">2</m:t>
                                  </m:r>
                                </m:sub>
                              </m:sSub>
                              <m:r>
                                <m:t xml:space="preserve">，…，</m:t>
                              </m:r>
                              <m:sSub>
                                <m:sSubPr/>
                                <m:e>
                                  <m:r>
                                    <m:t xml:space="preserve">a</m:t>
                                  </m:r>
                                </m:e>
                                <m:sub>
                                  <m:r>
                                    <m:t xml:space="preserve">M</m:t>
                                  </m:r>
                                </m:sub>
                              </m:sSub>
                            </m:e>
                          </m:d>
                        </m:e>
                        <m:sup>
                          <m:r>
                            <m:t xml:space="preserve">T</m:t>
                          </m:r>
                        </m:sup>
                      </m:sSup>
                    </m:e>
                  </m:mr>
                  <m:mr>
                    <m:e>
                      <m:sSub>
                        <m:sSubPr/>
                        <m:e>
                          <m:r>
                            <m:t xml:space="preserve">a</m:t>
                          </m:r>
                        </m:e>
                        <m:sub>
                          <m:r>
                            <m:t xml:space="preserve">m</m:t>
                          </m:r>
                        </m:sub>
                      </m:sSub>
                      <m:r>
                        <m:t xml:space="preserve">=</m:t>
                      </m:r>
                      <m:sSub>
                        <m:sSubPr/>
                        <m:e>
                          <m:r>
                            <m:t xml:space="preserve">g</m:t>
                          </m:r>
                        </m:e>
                        <m:sub>
                          <m:r>
                            <m:t xml:space="preserve">m</m:t>
                          </m:r>
                        </m:sub>
                      </m:sSub>
                      <m:sSup>
                        <m:sSupPr/>
                        <m:e>
                          <m:r>
                            <m:t xml:space="preserve">e</m:t>
                          </m:r>
                        </m:e>
                        <m:sup>
                          <m:r>
                            <m:t xml:space="preserve">−j2π</m:t>
                          </m:r>
                          <m:sSub>
                            <m:sSubPr/>
                            <m:e>
                              <m:r>
                                <m:t xml:space="preserve">f</m:t>
                              </m:r>
                            </m:e>
                            <m:sub>
                              <m:r>
                                <m:t xml:space="preserve">c</m:t>
                              </m:r>
                            </m:sub>
                          </m:sSub>
                          <m:sSub>
                            <m:sSubPr/>
                            <m:e>
                              <m:r>
                                <m:t xml:space="preserve">τ</m:t>
                              </m:r>
                            </m:e>
                            <m:sub>
                              <m:r>
                                <m:t xml:space="preserve">m</m:t>
                              </m:r>
                            </m:sub>
                          </m:sSub>
                        </m:sup>
                      </m:sSup>
                    </m:e>
                  </m:mr>
                </m:m>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（5-8）</w:t>
            </w:r>
          </w:p>
        </w:tc>
      </w:tr>
    </w:tbl>
    <w:p>
      <w:pPr>
        <w:spacing w:line="360" w:lineRule="auto" w:before="0" w:after="0"/>
        <w:jc w:val="both"/>
        <w:ind w:firstLineChars="200" w:firstLine="480"/>
      </w:pPr>
      <w:r>
        <w:rPr>
          <w:rFonts w:ascii="Times New Roman" w:hAnsi="Times New Roman" w:cs="Times New Roman" w:eastAsia="宋体"/>
          <w:b w:val="0"/>
          <w:i w:val="0"/>
          <w:sz w:val="24"/>
        </w:rPr>
        <w:t>其中，第二行给出了第m路通道响应的组成，各通道系数表示相应天线对目标卫星方向的等效幅度响应，指数项描述载波频率与相对传播时延共同形成的相位响应。对于手机终端，天线基线相对于机体坐标系通常可以通过结构设计确定，但要利用式（5-8）实时生成导向矢量，还需要获得终端姿态，将卫星在当地坐标系中的方位和高度信息转换至机体坐标系。此外，天线方向图和射频固定相位差也需要通过标定或在线估计进行修正。</w:t>
      </w:r>
    </w:p>
    <w:p>
      <w:pPr>
        <w:spacing w:line="360" w:lineRule="auto" w:before="0" w:after="0"/>
        <w:jc w:val="both"/>
        <w:ind w:firstLineChars="200" w:firstLine="480"/>
      </w:pPr>
      <w:r>
        <w:rPr>
          <w:rFonts w:ascii="Times New Roman" w:hAnsi="Times New Roman" w:cs="Times New Roman" w:eastAsia="宋体"/>
          <w:b w:val="0"/>
          <w:i w:val="0"/>
          <w:sz w:val="24"/>
        </w:rPr>
        <w:t>除几何计算外，还可以利用跟踪环路输出直接估计不同通道对同一颗卫星的相对复响应。设第m路和参考通道在同一历元获得复相关器输出，则相对载波相位可由两路复相关结果共轭乘积的相角得到，并进一步扣除对应通道的固定相位标定量：</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Δφ</m:t>
                    </m:r>
                  </m:e>
                  <m:sub>
                    <m:r>
                      <m:t xml:space="preserve">m</m:t>
                    </m:r>
                  </m:sub>
                </m:sSub>
                <m:r>
                  <m:t xml:space="preserve">=</m:t>
                </m:r>
                <m:r>
                  <m:t xml:space="preserve">arg</m:t>
                </m:r>
                <m:r>
                  <m:t xml:space="preserve">(</m:t>
                </m:r>
                <m:sSub>
                  <m:sSubPr/>
                  <m:e>
                    <m:r>
                      <m:t xml:space="preserve">Z</m:t>
                    </m:r>
                  </m:e>
                  <m:sub>
                    <m:r>
                      <m:t xml:space="preserve">m</m:t>
                    </m:r>
                  </m:sub>
                </m:sSub>
                <m:sSup>
                  <m:sSupPr/>
                  <m:e>
                    <m:sSub>
                      <m:sSubPr/>
                      <m:e>
                        <m:r>
                          <m:t xml:space="preserve">Z</m:t>
                        </m:r>
                      </m:e>
                      <m:sub>
                        <m:r>
                          <m:t xml:space="preserve">1</m:t>
                        </m:r>
                      </m:sub>
                    </m:sSub>
                  </m:e>
                  <m:sup>
                    <m:r>
                      <m:t xml:space="preserve">*</m:t>
                    </m:r>
                  </m:sup>
                </m:sSup>
                <m:r>
                  <m:t xml:space="preserve">)</m:t>
                </m:r>
                <m:r>
                  <m:t xml:space="preserve">−</m:t>
                </m:r>
                <m:sSub>
                  <m:sSubPr/>
                  <m:e>
                    <m:r>
                      <m:t xml:space="preserve">φ</m:t>
                    </m:r>
                  </m:e>
                  <m:sub>
                    <m:r>
                      <m:t xml:space="preserve">cal,m</m:t>
                    </m:r>
                  </m:sub>
                </m:sSub>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（5-9）</w:t>
            </w:r>
          </w:p>
        </w:tc>
      </w:tr>
    </w:tbl>
    <w:p>
      <w:pPr>
        <w:spacing w:line="360" w:lineRule="auto" w:before="0" w:after="0"/>
        <w:jc w:val="both"/>
        <w:ind w:firstLineChars="200" w:firstLine="480"/>
      </w:pPr>
      <w:r>
        <w:rPr>
          <w:rFonts w:ascii="Times New Roman" w:hAnsi="Times New Roman" w:cs="Times New Roman" w:eastAsia="宋体"/>
          <w:b w:val="0"/>
          <w:i w:val="0"/>
          <w:sz w:val="24"/>
        </w:rPr>
        <w:t>在获得各通道相对于第1路的幅度比例和载波相位差后，可先形成各通道相对复响应，再构造以第1路为参考的跟踪估计导向矢量：</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m>
                  <m:mPr/>
                  <m:mr>
                    <m:e>
                      <m:sSub>
                        <m:sSubPr/>
                        <m:e>
                          <m:r>
                            <m:t xml:space="preserve">â</m:t>
                          </m:r>
                        </m:e>
                        <m:sub>
                          <m:r>
                            <m:t xml:space="preserve">s</m:t>
                          </m:r>
                        </m:sub>
                      </m:sSub>
                      <m:r>
                        <m:t xml:space="preserve">=</m:t>
                      </m:r>
                      <m:sSup>
                        <m:sSupPr/>
                        <m:e>
                          <m:d>
                            <m:dPr>
                              <m:begChr m:val="["/>
                              <m:endChr m:val="]"/>
                            </m:dPr>
                            <m:e>
                              <m:r>
                                <m:t xml:space="preserve">1，</m:t>
                              </m:r>
                              <m:sSub>
                                <m:sSubPr/>
                                <m:e>
                                  <m:r>
                                    <m:t xml:space="preserve">ρ</m:t>
                                  </m:r>
                                </m:e>
                                <m:sub>
                                  <m:r>
                                    <m:t xml:space="preserve">2</m:t>
                                  </m:r>
                                </m:sub>
                              </m:sSub>
                              <m:r>
                                <m:t xml:space="preserve">，…，</m:t>
                              </m:r>
                              <m:sSub>
                                <m:sSubPr/>
                                <m:e>
                                  <m:r>
                                    <m:t xml:space="preserve">ρ</m:t>
                                  </m:r>
                                </m:e>
                                <m:sub>
                                  <m:r>
                                    <m:t xml:space="preserve">M</m:t>
                                  </m:r>
                                </m:sub>
                              </m:sSub>
                            </m:e>
                          </m:d>
                        </m:e>
                        <m:sup>
                          <m:r>
                            <m:t xml:space="preserve">T</m:t>
                          </m:r>
                        </m:sup>
                      </m:sSup>
                    </m:e>
                  </m:mr>
                  <m:mr>
                    <m:e>
                      <m:sSub>
                        <m:sSubPr/>
                        <m:e>
                          <m:r>
                            <m:t xml:space="preserve">ρ</m:t>
                          </m:r>
                        </m:e>
                        <m:sub>
                          <m:r>
                            <m:t xml:space="preserve">m</m:t>
                          </m:r>
                        </m:sub>
                      </m:sSub>
                      <m:r>
                        <m:t xml:space="preserve">=</m:t>
                      </m:r>
                      <m:sSub>
                        <m:sSubPr/>
                        <m:e>
                          <m:r>
                            <m:t xml:space="preserve">α</m:t>
                          </m:r>
                        </m:e>
                        <m:sub>
                          <m:r>
                            <m:t xml:space="preserve">m</m:t>
                          </m:r>
                        </m:sub>
                      </m:sSub>
                      <m:sSup>
                        <m:sSupPr/>
                        <m:e>
                          <m:r>
                            <m:t xml:space="preserve">e</m:t>
                          </m:r>
                        </m:e>
                        <m:sup>
                          <m:r>
                            <m:t xml:space="preserve">j</m:t>
                          </m:r>
                          <m:sSub>
                            <m:sSubPr/>
                            <m:e>
                              <m:r>
                                <m:t xml:space="preserve">Δφ</m:t>
                              </m:r>
                            </m:e>
                            <m:sub>
                              <m:r>
                                <m:t xml:space="preserve">m</m:t>
                              </m:r>
                            </m:sub>
                          </m:sSub>
                        </m:sup>
                      </m:sSup>
                    </m:e>
                  </m:mr>
                </m:m>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（5-10）</w:t>
            </w:r>
          </w:p>
        </w:tc>
      </w:tr>
    </w:tbl>
    <w:p>
      <w:pPr>
        <w:spacing w:line="360" w:lineRule="auto" w:before="0" w:after="0"/>
        <w:jc w:val="both"/>
        <w:ind w:firstLineChars="200" w:firstLine="480"/>
      </w:pPr>
      <w:r>
        <w:rPr>
          <w:rFonts w:ascii="Times New Roman" w:hAnsi="Times New Roman" w:cs="Times New Roman" w:eastAsia="宋体"/>
          <w:b w:val="0"/>
          <w:i w:val="0"/>
          <w:sz w:val="24"/>
        </w:rPr>
        <w:t>跟踪估计方式无需显式知道卫星相对于手机机体的精确入射方向，可以自然包含天线、射频链路以及部分传播环境造成的实际幅相响应，因此对于终端阵列较不规则、难以建立理想阵列流形模型的场景具有较强吸引力。但该方法依赖卫星已经稳定捕获和跟踪，在强干扰导致接收机无法上星时无法直接提供初始导向矢量；同时，多径会改变各天线相关器输出的复相位，使估计结果偏离直达波的真实空间响应。</w:t>
      </w:r>
    </w:p>
    <w:p>
      <w:pPr>
        <w:spacing w:line="360" w:lineRule="auto" w:before="0" w:after="0"/>
        <w:jc w:val="both"/>
        <w:ind w:firstLineChars="200" w:firstLine="480"/>
      </w:pPr>
      <w:r>
        <w:rPr>
          <w:rFonts w:ascii="Times New Roman" w:hAnsi="Times New Roman" w:cs="Times New Roman" w:eastAsia="宋体"/>
          <w:b w:val="0"/>
          <w:i w:val="0"/>
          <w:sz w:val="24"/>
        </w:rPr>
        <w:t>综合可实现性，可将导向矢量获取分为几何模型法、跟踪估计法和混合估计法三类，其特点如表5-1所示。几何模型法适合提供初始值或作为合理性约束，跟踪估计法更贴合实际接收链路，混合方式则可利用几何预测提供先验，并通过跟踪结果持续修正通道幅相误差。对于当前可行性阶段，建议优先验证跟踪估计与混合估计两种路线。</w:t>
      </w:r>
    </w:p>
    <w:p>
      <w:pPr>
        <w:pStyle w:val="表题"/>
      </w:pPr>
      <w:r>
        <w:rPr>
          <w:rFonts w:ascii="Times New Roman" w:hAnsi="Times New Roman" w:cs="Times New Roman" w:eastAsia="宋体"/>
          <w:b w:val="0"/>
          <w:i w:val="0"/>
          <w:sz w:val="21"/>
        </w:rPr>
        <w:t>表 5-1 MVDR导向矢量获取方式对比</w:t>
      </w:r>
    </w:p>
    <w:tbl>
      <w:tblPr>
        <w:tblW w:type="auto" w:w="0"/>
        <w:jc w:val="center"/>
        <w:tblLayout w:type="autofit"/>
        <w:tblLook w:firstColumn="1" w:firstRow="1" w:lastColumn="0" w:lastRow="0" w:noHBand="0" w:noVBand="1" w:val="04A0"/>
      </w:tblPr>
      <w:tblGrid>
        <w:gridCol w:w="2197"/>
        <w:gridCol w:w="2197"/>
        <w:gridCol w:w="2197"/>
        <w:gridCol w:w="2197"/>
      </w:tblGrid>
      <w:tr>
        <w:trPr>
          <w:tblHeader w:val="true"/>
        </w:trPr>
        <w:tc>
          <w:tcPr>
            <w:tcW w:type="dxa" w:w="2197"/>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获取方式</w:t>
            </w:r>
          </w:p>
        </w:tc>
        <w:tc>
          <w:tcPr>
            <w:tcW w:type="dxa" w:w="2197"/>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所需信息</w:t>
            </w:r>
          </w:p>
        </w:tc>
        <w:tc>
          <w:tcPr>
            <w:tcW w:type="dxa" w:w="2197"/>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主要优势</w:t>
            </w:r>
          </w:p>
        </w:tc>
        <w:tc>
          <w:tcPr>
            <w:tcW w:type="dxa" w:w="2197"/>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主要限制</w:t>
            </w:r>
          </w:p>
        </w:tc>
      </w:tr>
      <w:tr>
        <w:tc>
          <w:tcPr>
            <w:tcW w:type="dxa" w:w="2197"/>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几何模型法</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卫星方位、高度角；终端姿态；天线基线；通道标定参数</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无需依赖当前相关器输出，可提前计算目标方向响应</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依赖姿态精度和阵列流形模型；难以完整反映真实天线/RF响应</w:t>
            </w:r>
          </w:p>
        </w:tc>
      </w:tr>
      <w:tr>
        <w:tc>
          <w:tcPr>
            <w:tcW w:type="dxa" w:w="2197"/>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跟踪估计法</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同星多通道复相关器输出；通道相位标定</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可直接反映实际通道幅相关系，不要求精确阵列几何模型</w:t>
            </w:r>
          </w:p>
        </w:tc>
        <w:tc>
          <w:tcPr>
            <w:tcW w:type="dxa" w:w="2197"/>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需要先稳定上星；受多径、低C/N0和环路噪声影响</w:t>
            </w:r>
          </w:p>
        </w:tc>
      </w:tr>
      <w:tr>
        <w:tc>
          <w:tcPr>
            <w:tcW w:type="dxa" w:w="2197"/>
            <w:vAlign w:val="center"/>
            <w:tcBorders>
              <w:left w:val="nil"/>
              <w:right w:val="nil"/>
              <w:insideV w:val="nil"/>
              <w:insideH w:val="nil"/>
              <w:bottom w:val="single" w:sz="10" w:color="000000"/>
            </w:tcBorders>
          </w:tcPr>
          <w:p>
            <w:pPr>
              <w:spacing w:before="0" w:after="0"/>
              <w:jc w:val="center"/>
            </w:pPr>
            <w:r/>
            <w:r>
              <w:rPr>
                <w:rFonts w:ascii="Times New Roman" w:hAnsi="Times New Roman" w:cs="Times New Roman" w:eastAsia="宋体"/>
                <w:b w:val="0"/>
                <w:i w:val="0"/>
                <w:sz w:val="21"/>
              </w:rPr>
              <w:t>混合估计法</w:t>
            </w:r>
          </w:p>
        </w:tc>
        <w:tc>
          <w:tcPr>
            <w:tcW w:type="dxa" w:w="2197"/>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几何先验 + 跟踪结果 + 标定参数</w:t>
            </w:r>
          </w:p>
        </w:tc>
        <w:tc>
          <w:tcPr>
            <w:tcW w:type="dxa" w:w="2197"/>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兼顾初始化能力与实际通道响应，可进行异常约束和长期修正</w:t>
            </w:r>
          </w:p>
        </w:tc>
        <w:tc>
          <w:tcPr>
            <w:tcW w:type="dxa" w:w="2197"/>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实现复杂度较高，需要设计融合和可信度判断机制</w:t>
            </w:r>
          </w:p>
        </w:tc>
      </w:tr>
    </w:tbl>
    <w:p>
      <w:pPr>
        <w:spacing w:line="360" w:lineRule="auto" w:before="0" w:after="0"/>
        <w:jc w:val="both"/>
        <w:ind w:firstLineChars="200" w:firstLine="480"/>
      </w:pPr>
      <w:r>
        <w:rPr>
          <w:rFonts w:ascii="Times New Roman" w:hAnsi="Times New Roman" w:cs="Times New Roman" w:eastAsia="宋体"/>
          <w:b w:val="0"/>
          <w:i w:val="0"/>
          <w:sz w:val="24"/>
        </w:rPr>
        <w:t>由于相干权值对相位误差较为敏感，导向矢量估计还应配置时间平滑、低C/N0门限和异常跳变检测机制。当目标卫星跟踪状态恶化或相对相位估计失效时，不宜继续使用旧的高置信度MVDR权值，可退化至盲零陷、单天线选择或其他更稳健的处理模式，从而避免导向矢量失配引起目标信号自抑制。</w:t>
      </w:r>
    </w:p>
    <w:p>
      <w:pPr>
        <w:pStyle w:val="Heading3"/>
      </w:pPr>
      <w:r>
        <w:rPr>
          <w:rFonts w:ascii="Times New Roman" w:hAnsi="Times New Roman" w:cs="Times New Roman" w:eastAsia="宋体"/>
          <w:b/>
          <w:i w:val="0"/>
          <w:sz w:val="28"/>
        </w:rPr>
        <w:t>5.2.3 权值计算与实现流程</w:t>
      </w:r>
    </w:p>
    <w:p>
      <w:pPr>
        <w:spacing w:line="360" w:lineRule="auto" w:before="0" w:after="0"/>
        <w:jc w:val="both"/>
        <w:ind w:firstLineChars="200" w:firstLine="480"/>
      </w:pPr>
      <w:r>
        <w:rPr>
          <w:rFonts w:ascii="Times New Roman" w:hAnsi="Times New Roman" w:cs="Times New Roman" w:eastAsia="宋体"/>
          <w:b w:val="0"/>
          <w:i w:val="0"/>
          <w:sz w:val="24"/>
        </w:rPr>
        <w:t>MVDR权值计算由协方差估计和导向矢量共同驱动。直接按照式（5-5）计算矩阵逆在数学上较为直观，但工程实现中通常不需要显式求逆，可先通过线性方程求解获得中间向量，再进行归一化得到权值。对于2～4天线的小规模阵列，矩阵维度较低，权值求解本身的计算量并非主要瓶颈，实际更需要关注协方差统计窗口、更新周期、定点精度、矩阵条件数以及导向矢量更新可靠性。</w:t>
      </w:r>
    </w:p>
    <w:p>
      <w:pPr>
        <w:spacing w:line="360" w:lineRule="auto" w:before="0" w:after="0"/>
        <w:jc w:val="both"/>
        <w:ind w:firstLineChars="200" w:firstLine="480"/>
      </w:pPr>
      <w:r>
        <w:rPr>
          <w:rFonts w:ascii="Times New Roman" w:hAnsi="Times New Roman" w:cs="Times New Roman" w:eastAsia="宋体"/>
          <w:b w:val="0"/>
          <w:i w:val="0"/>
          <w:sz w:val="24"/>
        </w:rPr>
        <w:t>有限快拍、通道强相关或干扰数量接近阵列自由度时，样本协方差矩阵可能出现病态或接近奇异的情况。为提高求解稳定性，可采用对角加载，将样本协方差矩阵修正为</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R̃</m:t>
                    </m:r>
                  </m:e>
                  <m:sub>
                    <m:r>
                      <m:t xml:space="preserve">x</m:t>
                    </m:r>
                  </m:sub>
                </m:sSub>
                <m:r>
                  <m:t xml:space="preserve">=</m:t>
                </m:r>
                <m:sSub>
                  <m:sSubPr/>
                  <m:e>
                    <m:r>
                      <m:t xml:space="preserve">R̂</m:t>
                    </m:r>
                  </m:e>
                  <m:sub>
                    <m:r>
                      <m:t xml:space="preserve">x</m:t>
                    </m:r>
                  </m:sub>
                </m:sSub>
                <m:r>
                  <m:t xml:space="preserve">+</m:t>
                </m:r>
                <m:r>
                  <m:t xml:space="preserve">δI</m:t>
                </m:r>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（5-11）</w:t>
            </w:r>
          </w:p>
        </w:tc>
      </w:tr>
    </w:tbl>
    <w:p>
      <w:pPr>
        <w:spacing w:line="360" w:lineRule="auto" w:before="0" w:after="0"/>
        <w:jc w:val="both"/>
        <w:ind w:firstLineChars="200" w:firstLine="480"/>
      </w:pPr>
      <w:r>
        <w:rPr>
          <w:rFonts w:ascii="Times New Roman" w:hAnsi="Times New Roman" w:cs="Times New Roman" w:eastAsia="宋体"/>
          <w:b w:val="0"/>
          <w:i w:val="0"/>
          <w:sz w:val="24"/>
        </w:rPr>
        <w:t>式（5-11）中，δ为非负对角加载系数。较小的δ能够改善数值条件而基本保留空间分辨能力；δ过大时，矩阵逐渐趋向单位阵比例形式，MVDR的自适应干扰抑制能力下降，但对导向矢量误差的敏感性也会降低。因此，δ的选取本质上是在零陷深度、数值稳定性和失配鲁棒性之间折中，后续仿真需要结合阵列规模和典型J/S条件确定合理范围。</w:t>
      </w:r>
    </w:p>
    <w:p>
      <w:pPr>
        <w:spacing w:line="360" w:lineRule="auto" w:before="0" w:after="0"/>
        <w:jc w:val="both"/>
        <w:ind w:firstLineChars="200" w:firstLine="480"/>
      </w:pPr>
      <w:r>
        <w:rPr>
          <w:rFonts w:ascii="Times New Roman" w:hAnsi="Times New Roman" w:cs="Times New Roman" w:eastAsia="宋体"/>
          <w:b w:val="0"/>
          <w:i w:val="0"/>
          <w:sz w:val="24"/>
        </w:rPr>
        <w:t>在得到修正后的协方差矩阵后，可先求解</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R̃</m:t>
                    </m:r>
                  </m:e>
                  <m:sub>
                    <m:r>
                      <m:t xml:space="preserve">x</m:t>
                    </m:r>
                  </m:sub>
                </m:sSub>
                <m:r>
                  <m:t xml:space="preserve">q=</m:t>
                </m:r>
                <m:sSub>
                  <m:sSubPr/>
                  <m:e>
                    <m:r>
                      <m:t xml:space="preserve">a</m:t>
                    </m:r>
                  </m:e>
                  <m:sub>
                    <m:r>
                      <m:t xml:space="preserve">s</m:t>
                    </m:r>
                  </m:sub>
                </m:sSub>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（5-12）</w:t>
            </w:r>
          </w:p>
        </w:tc>
      </w:tr>
    </w:tbl>
    <w:p>
      <w:pPr>
        <w:spacing w:line="360" w:lineRule="auto" w:before="0" w:after="0"/>
        <w:jc w:val="both"/>
        <w:ind w:firstLineChars="200" w:firstLine="480"/>
      </w:pPr>
      <w:r>
        <w:rPr>
          <w:rFonts w:ascii="Times New Roman" w:hAnsi="Times New Roman" w:cs="Times New Roman" w:eastAsia="宋体"/>
          <w:b w:val="0"/>
          <w:i w:val="0"/>
          <w:sz w:val="24"/>
        </w:rPr>
        <w:t>再进行归一化得到MVDR权值：</w:t>
      </w:r>
    </w:p>
    <w:tbl>
      <w:tblPr>
        <w:tblW w:type="auto" w:w="0"/>
        <w:jc w:val="center"/>
        <w:tblLayout w:type="fixed"/>
        <w:tblLook w:firstColumn="1" w:firstRow="1" w:lastColumn="0" w:lastRow="0" w:noHBand="0" w:noVBand="1" w:val="04A0"/>
      </w:tblPr>
      <w:tblGrid>
        <w:gridCol w:w="2929"/>
        <w:gridCol w:w="2929"/>
        <w:gridCol w:w="2929"/>
      </w:tblGrid>
      <w:tr>
        <w:trPr>
          <w:cantSplit/>
        </w:trPr>
        <w:tc>
          <w:tcPr>
            <w:tcW w:type="dxa" w:w="1587"/>
            <w:tcBorders>
              <w:top w:val="nil"/>
              <w:bottom w:val="nil"/>
              <w:left w:val="nil"/>
              <w:right w:val="nil"/>
              <w:insideH w:val="nil"/>
              <w:insideV w:val="nil"/>
            </w:tcBorders>
          </w:tcPr>
          <w:p>
            <w:pPr/>
          </w:p>
        </w:tc>
        <w:tc>
          <w:tcPr>
            <w:tcW w:type="dxa" w:w="6179"/>
            <w:tcBorders>
              <w:top w:val="nil"/>
              <w:bottom w:val="nil"/>
              <w:left w:val="nil"/>
              <w:right w:val="nil"/>
              <w:insideH w:val="nil"/>
              <w:insideV w:val="nil"/>
            </w:tcBorders>
          </w:tcPr>
          <w:p>
            <w:pPr>
              <w:spacing w:before="60" w:after="60"/>
              <w:jc w:val="center"/>
            </w:pPr>
            <m:oMathPara xmlns:m="http://schemas.openxmlformats.org/officeDocument/2006/math">
              <m:oMathParaPr>
                <m:jc m:val="center"/>
              </m:oMathParaPr>
              <m:oMath>
                <m:sSub>
                  <m:sSubPr/>
                  <m:e>
                    <m:r>
                      <m:t xml:space="preserve">w</m:t>
                    </m:r>
                  </m:e>
                  <m:sub>
                    <m:r>
                      <m:t xml:space="preserve">MVDR</m:t>
                    </m:r>
                  </m:sub>
                </m:sSub>
                <m:r>
                  <m:t xml:space="preserve">=</m:t>
                </m:r>
                <m:f>
                  <m:num>
                    <m:r>
                      <m:t xml:space="preserve">q</m:t>
                    </m:r>
                  </m:num>
                  <m:den>
                    <m:sSup>
                      <m:sSupPr/>
                      <m:e>
                        <m:sSub>
                          <m:sSubPr/>
                          <m:e>
                            <m:r>
                              <m:t xml:space="preserve">a</m:t>
                            </m:r>
                          </m:e>
                          <m:sub>
                            <m:r>
                              <m:t xml:space="preserve">s</m:t>
                            </m:r>
                          </m:sub>
                        </m:sSub>
                      </m:e>
                      <m:sup>
                        <m:r>
                          <m:t xml:space="preserve">H</m:t>
                        </m:r>
                      </m:sup>
                    </m:sSup>
                    <m:r>
                      <m:t xml:space="preserve">q</m:t>
                    </m:r>
                  </m:den>
                </m:f>
              </m:oMath>
            </m:oMathPara>
          </w:p>
        </w:tc>
        <w:tc>
          <w:tcPr>
            <w:tcW w:type="dxa" w:w="1587"/>
            <w:tcBorders>
              <w:top w:val="nil"/>
              <w:bottom w:val="nil"/>
              <w:left w:val="nil"/>
              <w:right w:val="nil"/>
              <w:insideH w:val="nil"/>
              <w:insideV w:val="nil"/>
            </w:tcBorders>
          </w:tcPr>
          <w:p>
            <w:pPr>
              <w:spacing w:before="60" w:after="60"/>
              <w:jc w:val="right"/>
            </w:pPr>
            <w:r>
              <w:rPr>
                <w:rFonts w:ascii="Times New Roman" w:hAnsi="Times New Roman" w:cs="Times New Roman" w:eastAsia="宋体"/>
                <w:b w:val="0"/>
                <w:i w:val="0"/>
                <w:sz w:val="21"/>
              </w:rPr>
              <w:t>（5-13）</w:t>
            </w:r>
          </w:p>
        </w:tc>
      </w:tr>
    </w:tbl>
    <w:p>
      <w:pPr>
        <w:spacing w:line="360" w:lineRule="auto" w:before="0" w:after="0"/>
        <w:jc w:val="both"/>
        <w:ind w:firstLineChars="200" w:firstLine="480"/>
      </w:pPr>
      <w:r>
        <w:rPr>
          <w:rFonts w:ascii="Times New Roman" w:hAnsi="Times New Roman" w:cs="Times New Roman" w:eastAsia="宋体"/>
          <w:b w:val="0"/>
          <w:i w:val="0"/>
          <w:sz w:val="24"/>
        </w:rPr>
        <w:t>从完整处理链路看，建议将MVDR实现划分为“通道预处理—协方差更新—导向矢量更新—权值求解—输出合并—状态监测”六个连续环节。通道预处理负责保证各路采样在时间、频率和幅相标定意义下处于可比较状态；协方差更新根据固定或滑动窗口统计空间相关性；导向矢量更新根据当前目标卫星跟踪状态生成或修正约束向量；权值求解完成线性方程求解和归一化；输出合并按照式（5-6）得到目标卫星对应的阵列输出；状态监测则用于判断矩阵条件数、导向矢量可信度和跟踪状态，在异常情况下触发权值冻结或方案降级。</w:t>
      </w:r>
    </w:p>
    <w:p>
      <w:pPr>
        <w:spacing w:line="360" w:lineRule="auto" w:before="0" w:after="0"/>
        <w:jc w:val="both"/>
        <w:ind w:firstLineChars="200" w:firstLine="480"/>
      </w:pPr>
      <w:r>
        <w:rPr>
          <w:rFonts w:ascii="Times New Roman" w:hAnsi="Times New Roman" w:cs="Times New Roman" w:eastAsia="宋体"/>
          <w:b w:val="0"/>
          <w:i w:val="0"/>
          <w:sz w:val="24"/>
        </w:rPr>
        <w:t>协方差窗口长度和权值更新周期需要结合干扰动态特性设计。窗口过短时，样本数不足会导致协方差估计抖动和权值波动；窗口过长则会降低对快速变化干扰和终端姿态变化的跟随能力。手机场景下，终端旋转、人体遮挡和近场干扰源均可能造成空间关系随时间变化，因此后续应通过仿真确定“统计稳定性—跟随速度—计算功耗”之间的合理折中。</w:t>
      </w:r>
    </w:p>
    <w:p>
      <w:pPr>
        <w:spacing w:line="360" w:lineRule="auto" w:before="0" w:after="0"/>
        <w:jc w:val="both"/>
        <w:ind w:firstLineChars="200" w:firstLine="480"/>
      </w:pPr>
      <w:r>
        <w:rPr>
          <w:rFonts w:ascii="Times New Roman" w:hAnsi="Times New Roman" w:cs="Times New Roman" w:eastAsia="宋体"/>
          <w:b w:val="0"/>
          <w:i w:val="0"/>
          <w:sz w:val="24"/>
        </w:rPr>
        <w:t>MVDR在GNSS接收链路中的部署位置直接决定系统复杂度。如果在DFE后、ACQ前对宽带采样使用单组权值进行合并，可以较早抑制干扰并减少后级处理通道数，但无法同时对所有不同入射方向的卫星建立严格无失真约束；如果在每颗卫星完成捕获后，根据各通道相关器输出生成逐星权值，则可以针对不同卫星分别构造导向矢量，但需要保留多通道相关处理能力。综合可行性，当前更适合重点评估两条路线：一是前级盲零陷用于强干扰下保证上星，稳定跟踪后再切换至逐星MVDR；二是在资源允许时保留多通道相关器，在相关器输出级直接进行逐星MVDR合并。</w:t>
      </w:r>
    </w:p>
    <w:p>
      <w:pPr>
        <w:spacing w:line="360" w:lineRule="auto" w:before="0" w:after="0"/>
        <w:jc w:val="both"/>
        <w:ind w:firstLineChars="200" w:firstLine="480"/>
      </w:pPr>
      <w:r>
        <w:rPr>
          <w:rFonts w:ascii="Times New Roman" w:hAnsi="Times New Roman" w:cs="Times New Roman" w:eastAsia="宋体"/>
          <w:b w:val="0"/>
          <w:i w:val="0"/>
          <w:sz w:val="24"/>
        </w:rPr>
        <w:t>对于多颗卫星同时需要在原始采样级受到保护的场景，可进一步研究线性约束最小方差（Linear Constraint Minimum Variance，LCMV）方法，通过多个约束同时保持若干卫星方向。但每增加一个独立约束都会占用阵列自由度，对于2～4天线的小阵列尤其需要谨慎评估。因此，本阶段不建议将多约束波束形成作为首要实现路线，而应先验证单星MVDR对导向矢量误差、通道非理想和资源消耗的基本敏感性。</w:t>
      </w:r>
    </w:p>
    <w:p>
      <w:pPr>
        <w:pStyle w:val="Heading3"/>
      </w:pPr>
      <w:r>
        <w:rPr>
          <w:rFonts w:ascii="Times New Roman" w:hAnsi="Times New Roman" w:cs="Times New Roman" w:eastAsia="宋体"/>
          <w:b/>
          <w:i w:val="0"/>
          <w:sz w:val="28"/>
        </w:rPr>
        <w:t>5.2.4 初步仿真验证</w:t>
      </w:r>
    </w:p>
    <w:p>
      <w:pPr>
        <w:spacing w:line="360" w:lineRule="auto" w:before="0" w:after="0"/>
        <w:jc w:val="both"/>
        <w:ind w:firstLineChars="200" w:firstLine="480"/>
      </w:pPr>
      <w:r>
        <w:rPr>
          <w:rFonts w:ascii="Times New Roman" w:hAnsi="Times New Roman" w:cs="Times New Roman" w:eastAsia="宋体"/>
          <w:b w:val="0"/>
          <w:i w:val="0"/>
          <w:sz w:val="24"/>
        </w:rPr>
        <w:t>本阶段MVDR仿真的目标不是直接给出最终工程参数，而是验证三个核心问题：其一，在手机尺度的2～4天线条件下，MVDR是否能够在保持目标GNSS信号的同时形成有效空间零陷；其二，导向矢量、通道幅相及时间同步误差对算法收益的影响有多大；其三，逐星MVDR相对于单组公共权值是否具有足够明显的性能优势，从而判断后续是否值得投入多通道相关器和在线标定资源。</w:t>
      </w:r>
    </w:p>
    <w:p>
      <w:pPr>
        <w:spacing w:line="360" w:lineRule="auto" w:before="0" w:after="0"/>
        <w:jc w:val="both"/>
        <w:ind w:firstLineChars="200" w:firstLine="480"/>
      </w:pPr>
      <w:r>
        <w:rPr>
          <w:rFonts w:ascii="Times New Roman" w:hAnsi="Times New Roman" w:cs="Times New Roman" w:eastAsia="宋体"/>
          <w:b w:val="0"/>
          <w:i w:val="0"/>
          <w:sz w:val="24"/>
        </w:rPr>
        <w:t>初步仿真建议从理想模型逐步加入非理想因素。基准场景首先采用单颗目标卫星、单个空间干扰源和独立白噪声，分别验证无干扰和有干扰条件下的目标增益、零陷形成和输出信干噪比变化。在此基础上逐步加入多颗卫星、不同干扰方向、多个干扰源、幅度不一致、固定相位偏差、分数采样时延以及导向矢量估计误差，观察算法性能退化规律。</w:t>
      </w:r>
    </w:p>
    <w:p>
      <w:pPr>
        <w:pStyle w:val="表题"/>
      </w:pPr>
      <w:r>
        <w:rPr>
          <w:rFonts w:ascii="Times New Roman" w:hAnsi="Times New Roman" w:cs="Times New Roman" w:eastAsia="宋体"/>
          <w:b w:val="0"/>
          <w:i w:val="0"/>
          <w:sz w:val="21"/>
        </w:rPr>
        <w:t>表 5-2 MVDR初步仿真场景建议</w:t>
      </w:r>
    </w:p>
    <w:tbl>
      <w:tblPr>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场景</w:t>
            </w:r>
          </w:p>
        </w:tc>
        <w:tc>
          <w:tcPr>
            <w:tcW w:type="dxa" w:w="2929"/>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主要变量</w:t>
            </w:r>
          </w:p>
        </w:tc>
        <w:tc>
          <w:tcPr>
            <w:tcW w:type="dxa" w:w="2929"/>
            <w:vAlign w:val="center"/>
            <w:tcBorders>
              <w:left w:val="nil"/>
              <w:right w:val="nil"/>
              <w:insideV w:val="nil"/>
              <w:insideH w:val="nil"/>
              <w:top w:val="single" w:sz="10" w:color="000000"/>
              <w:bottom w:val="single" w:sz="6" w:color="000000"/>
            </w:tcBorders>
          </w:tcPr>
          <w:p>
            <w:pPr>
              <w:spacing w:before="0" w:after="0"/>
              <w:jc w:val="center"/>
            </w:pPr>
            <w:r/>
            <w:r>
              <w:rPr>
                <w:rFonts w:ascii="Times New Roman" w:hAnsi="Times New Roman" w:cs="Times New Roman" w:eastAsia="宋体"/>
                <w:b/>
                <w:i w:val="0"/>
                <w:sz w:val="21"/>
              </w:rPr>
              <w:t>重点观察内容</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无干扰基准</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2/3/4天线；不同卫星方向；通道噪声</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目标信号是否存在合并损失；权值是否稳定；与EGC/MRC基准对比</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单干扰源</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干扰方向、J/S、CW/宽带干扰</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输出SINR、零陷深度、目标方向增益、捕获/跟踪性能变化</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多干扰源</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干扰数量、方向间隔、功率差</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阵列自由度限制；多个零陷形成能力；矩阵条件数</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导向矢量失配</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相位误差、幅度误差、卫星方向误差</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目标自抑制风险；C/N0损失；对角加载的鲁棒性改善</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通道非理想</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固定相位差、增益差、分数时延、群时延</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标定前后性能差异；允许误差范围；权值稳定性</w:t>
            </w:r>
          </w:p>
        </w:tc>
      </w:tr>
      <w:tr>
        <w:tc>
          <w:tcPr>
            <w:tcW w:type="dxa" w:w="2929"/>
            <w:vAlign w:val="center"/>
            <w:tcBorders>
              <w:left w:val="nil"/>
              <w:right w:val="nil"/>
              <w:insideV w:val="nil"/>
              <w:insideH w:val="nil"/>
            </w:tcBorders>
          </w:tcPr>
          <w:p>
            <w:pPr>
              <w:spacing w:before="0" w:after="0"/>
              <w:jc w:val="center"/>
            </w:pPr>
            <w:r/>
            <w:r>
              <w:rPr>
                <w:rFonts w:ascii="Times New Roman" w:hAnsi="Times New Roman" w:cs="Times New Roman" w:eastAsia="宋体"/>
                <w:b w:val="0"/>
                <w:i w:val="0"/>
                <w:sz w:val="21"/>
              </w:rPr>
              <w:t>动态场景</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终端旋转、干扰方向变化、窗口长度和更新周期</w:t>
            </w:r>
          </w:p>
        </w:tc>
        <w:tc>
          <w:tcPr>
            <w:tcW w:type="dxa" w:w="2929"/>
            <w:vAlign w:val="center"/>
            <w:tcBorders>
              <w:left w:val="nil"/>
              <w:right w:val="nil"/>
              <w:insideV w:val="nil"/>
              <w:insideH w:val="nil"/>
            </w:tcBorders>
          </w:tcPr>
          <w:p>
            <w:pPr>
              <w:spacing w:before="0" w:after="0"/>
              <w:jc w:val="left"/>
            </w:pPr>
            <w:r/>
            <w:r>
              <w:rPr>
                <w:rFonts w:ascii="Times New Roman" w:hAnsi="Times New Roman" w:cs="Times New Roman" w:eastAsia="宋体"/>
                <w:b w:val="0"/>
                <w:i w:val="0"/>
                <w:sz w:val="21"/>
              </w:rPr>
              <w:t>跟随速度与统计稳定性的折中；权值更新瞬态</w:t>
            </w:r>
          </w:p>
        </w:tc>
      </w:tr>
      <w:tr>
        <w:tc>
          <w:tcPr>
            <w:tcW w:type="dxa" w:w="2929"/>
            <w:vAlign w:val="center"/>
            <w:tcBorders>
              <w:left w:val="nil"/>
              <w:right w:val="nil"/>
              <w:insideV w:val="nil"/>
              <w:insideH w:val="nil"/>
              <w:bottom w:val="single" w:sz="10" w:color="000000"/>
            </w:tcBorders>
          </w:tcPr>
          <w:p>
            <w:pPr>
              <w:spacing w:before="0" w:after="0"/>
              <w:jc w:val="center"/>
            </w:pPr>
            <w:r/>
            <w:r>
              <w:rPr>
                <w:rFonts w:ascii="Times New Roman" w:hAnsi="Times New Roman" w:cs="Times New Roman" w:eastAsia="宋体"/>
                <w:b w:val="0"/>
                <w:i w:val="0"/>
                <w:sz w:val="21"/>
              </w:rPr>
              <w:t>多星场景</w:t>
            </w:r>
          </w:p>
        </w:tc>
        <w:tc>
          <w:tcPr>
            <w:tcW w:type="dxa" w:w="2929"/>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不同卫星入射方向；公共权值与逐星权值</w:t>
            </w:r>
          </w:p>
        </w:tc>
        <w:tc>
          <w:tcPr>
            <w:tcW w:type="dxa" w:w="2929"/>
            <w:vAlign w:val="center"/>
            <w:tcBorders>
              <w:left w:val="nil"/>
              <w:right w:val="nil"/>
              <w:insideV w:val="nil"/>
              <w:insideH w:val="nil"/>
              <w:bottom w:val="single" w:sz="10" w:color="000000"/>
            </w:tcBorders>
          </w:tcPr>
          <w:p>
            <w:pPr>
              <w:spacing w:before="0" w:after="0"/>
              <w:jc w:val="left"/>
            </w:pPr>
            <w:r/>
            <w:r>
              <w:rPr>
                <w:rFonts w:ascii="Times New Roman" w:hAnsi="Times New Roman" w:cs="Times New Roman" w:eastAsia="宋体"/>
                <w:b w:val="0"/>
                <w:i w:val="0"/>
                <w:sz w:val="21"/>
              </w:rPr>
              <w:t>公共权值对非目标卫星的损失；逐星MVDR的实际收益与资源代价</w:t>
            </w:r>
          </w:p>
        </w:tc>
      </w:tr>
    </w:tbl>
    <w:p>
      <w:pPr>
        <w:spacing w:line="360" w:lineRule="auto" w:before="0" w:after="0"/>
        <w:jc w:val="both"/>
        <w:ind w:firstLineChars="200" w:firstLine="480"/>
      </w:pPr>
      <w:r>
        <w:rPr>
          <w:rFonts w:ascii="Times New Roman" w:hAnsi="Times New Roman" w:cs="Times New Roman" w:eastAsia="宋体"/>
          <w:b w:val="0"/>
          <w:i w:val="0"/>
          <w:sz w:val="24"/>
        </w:rPr>
        <w:t>评价指标不宜仅使用阵列输出功率。对GNSS接收机而言，应同时观察目标卫星输出C/N0或等效SINR、干扰抑制度、目标方向幅相误差、相关峰形状、捕获成功率以及PLL/DLL跟踪稳定性。其中，目标信号保持能力应优先于单纯追求零陷深度：若零陷很深但由于导向矢量失配造成目标相关峰显著衰减，则该权值并不具备实际应用价值。</w:t>
      </w:r>
    </w:p>
    <w:p>
      <w:pPr>
        <w:spacing w:line="360" w:lineRule="auto" w:before="0" w:after="0"/>
        <w:jc w:val="both"/>
        <w:ind w:firstLineChars="200" w:firstLine="480"/>
      </w:pPr>
      <w:r>
        <w:rPr>
          <w:rFonts w:ascii="Times New Roman" w:hAnsi="Times New Roman" w:cs="Times New Roman" w:eastAsia="宋体"/>
          <w:b w:val="0"/>
          <w:i w:val="0"/>
          <w:sz w:val="24"/>
        </w:rPr>
        <w:t>初步仿真阶段还应单独进行导向矢量误差扫描。例如在保持干扰条件不变的情况下，逐步增加各通道相对相位误差和相对幅度误差，统计输出C/N0和目标信号损失，从而获得MVDR对标定精度的需求边界。该结果将直接决定后续是否需要增加工厂幅相标定、在线相位跟踪或温漂补偿机制，是连接算法可行性与硬件实现可行性的关键数据。</w:t>
      </w:r>
    </w:p>
    <w:p>
      <w:pPr>
        <w:spacing w:line="360" w:lineRule="auto" w:before="0" w:after="0"/>
        <w:jc w:val="both"/>
        <w:ind w:firstLineChars="200" w:firstLine="480"/>
      </w:pPr>
      <w:r>
        <w:rPr>
          <w:rFonts w:ascii="Times New Roman" w:hAnsi="Times New Roman" w:cs="Times New Roman" w:eastAsia="宋体"/>
          <w:b w:val="0"/>
          <w:i w:val="0"/>
          <w:sz w:val="24"/>
        </w:rPr>
        <w:t>从预期机理上看，在目标导向矢量准确且阵列仍有可用空间自由度时，MVDR应能够在保持目标方向单位响应的同时对强干扰形成自适应抑制；随着导向矢量误差、通道时延失配和阵列相关性增大，目标信号保持能力和零陷深度都会下降。仿真阶段不应预设固定收益结论，而应重点建立“天线数量—阵元间距—干扰环境—标定精度—计算资源—最终GNSS性能”之间的对应关系，据此判断MVDR是否适合作为后续天线分集方案的主路线或增强路线。</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7" w:gutter="0" w:header="850" w:top="1417" w:footer="850"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FBFBF"/>
      </w:pBdr>
      <w:jc w:val="center"/>
      <w:rPr/>
    </w:pPr>
    <w:r>
      <w:rPr>
        <w:rFonts w:eastAsia="宋体" w:cs="Times New Roman"/>
        <w:sz w:val="18"/>
        <w:lang w:val="en-US" w:eastAsia="zh-CN"/>
      </w:rPr>
      <w:t xml:space="preserve">GNSS </w:t>
    </w:r>
    <w:r>
      <w:rPr>
        <w:rFonts w:ascii="Times New Roman" w:hAnsi="Times New Roman" w:cs="Times New Roman"/>
        <w:sz w:val="18"/>
        <w:lang w:val="en-US" w:eastAsia="zh-CN"/>
      </w:rPr>
      <w:t>天线分集可行性研究报告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480" w:firstLineChars="200"/>
      <w:jc w:val="both"/>
    </w:pPr>
    <w:rPr>
      <w:rFonts w:ascii="Times New Roman" w:hAnsi="Times New Roman" w:eastAsia="宋体" w:cs="Times New Roman"/>
      <w:color w:val="000000"/>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360" w:before="0" w:after="120"/>
      <w:jc w:val="center"/>
      <w:outlineLvl w:val="0"/>
    </w:pPr>
    <w:rPr>
      <w:rFonts w:ascii="Times New Roman" w:hAnsi="Times New Roman" w:eastAsia="宋体" w:cs="Times New Roman"/>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120"/>
      <w:jc w:val="left"/>
      <w:outlineLvl w:val="1"/>
    </w:pPr>
    <w:rPr>
      <w:rFonts w:ascii="Times New Roman" w:hAnsi="Times New Roman" w:eastAsia="宋体" w:cs="Times New Roman"/>
      <w:b/>
      <w:bCs/>
      <w:color w:val="000000"/>
      <w:sz w:val="30"/>
      <w:szCs w:val="30"/>
    </w:rPr>
  </w:style>
  <w:style w:type="paragraph" w:styleId="Heading3">
    <w:name w:val="heading 3"/>
    <w:basedOn w:val="Normal"/>
    <w:next w:val="Normal"/>
    <w:link w:val="Heading3Char"/>
    <w:uiPriority w:val="9"/>
    <w:unhideWhenUsed/>
    <w:qFormat/>
    <w:rsid w:val="00fc693f"/>
    <w:pPr>
      <w:keepNext w:val="true"/>
      <w:keepLines/>
      <w:spacing w:lineRule="auto" w:line="360" w:before="180" w:after="60"/>
      <w:jc w:val="left"/>
      <w:outlineLvl w:val="2"/>
    </w:pPr>
    <w:rPr>
      <w:rFonts w:ascii="Times New Roman" w:hAnsi="Times New Roman" w:eastAsia="宋体" w:cs="Times New Roman"/>
      <w:b/>
      <w:bCs/>
      <w:color w:val="000000"/>
      <w:sz w:val="28"/>
      <w:szCs w:val="28"/>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60"/>
      <w:jc w:val="start"/>
      <w:outlineLvl w:val="3"/>
    </w:pPr>
    <w:rPr>
      <w:rFonts w:ascii="Times New Roman" w:hAnsi="Times New Roman" w:eastAsia="宋体" w:cs="Times New Roman"/>
      <w:b/>
      <w:b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portTitle" w:customStyle="1">
    <w:name w:val="ReportTitle"/>
    <w:qFormat/>
    <w:pPr>
      <w:widowControl/>
      <w:suppressAutoHyphens w:val="true"/>
      <w:bidi w:val="0"/>
      <w:spacing w:lineRule="auto" w:line="360" w:before="0" w:after="0"/>
      <w:jc w:val="center"/>
    </w:pPr>
    <w:rPr>
      <w:rFonts w:ascii="Times New Roman" w:hAnsi="Times New Roman" w:eastAsia="宋体" w:cs="Times New Roman"/>
      <w:b/>
      <w:color w:val="000000"/>
      <w:kern w:val="0"/>
      <w:sz w:val="44"/>
      <w:szCs w:val="22"/>
      <w:lang w:val="en-US" w:eastAsia="en-US" w:bidi="ar-SA"/>
    </w:rPr>
  </w:style>
  <w:style w:type="paragraph" w:styleId="FrontHeading" w:customStyle="1">
    <w:name w:val="FrontHeading"/>
    <w:qFormat/>
    <w:pPr>
      <w:widowControl/>
      <w:suppressAutoHyphens w:val="true"/>
      <w:bidi w:val="0"/>
      <w:spacing w:lineRule="auto" w:line="360" w:before="0" w:after="240"/>
      <w:jc w:val="center"/>
    </w:pPr>
    <w:rPr>
      <w:rFonts w:ascii="Times New Roman" w:hAnsi="Times New Roman" w:eastAsia="宋体" w:cs="Times New Roman"/>
      <w:b/>
      <w:color w:val="000000"/>
      <w:kern w:val="0"/>
      <w:sz w:val="36"/>
      <w:szCs w:val="22"/>
      <w:lang w:val="en-US" w:eastAsia="en-US" w:bidi="ar-SA"/>
    </w:rPr>
  </w:style>
  <w:style w:type="paragraph" w:styleId="TOC1">
    <w:name w:val="toc 1"/>
    <w:basedOn w:val="Index"/>
    <w:pPr>
      <w:tabs>
        <w:tab w:val="clear" w:pos="720"/>
        <w:tab w:val="right" w:pos="8788" w:leader="dot"/>
      </w:tabs>
      <w:ind w:hanging="0" w:start="0"/>
    </w:pPr>
    <w:rPr/>
  </w:style>
  <w:style w:type="paragraph" w:styleId="TOC2">
    <w:name w:val="toc 2"/>
    <w:basedOn w:val="Index"/>
    <w:pPr>
      <w:tabs>
        <w:tab w:val="clear" w:pos="720"/>
        <w:tab w:val="right" w:pos="8505" w:leader="dot"/>
      </w:tabs>
      <w:ind w:hanging="0" w:start="283"/>
    </w:pPr>
    <w:rPr/>
  </w:style>
  <w:style w:type="paragraph" w:styleId="TOC3">
    <w:name w:val="toc 3"/>
    <w:basedOn w:val="Index"/>
    <w:pPr>
      <w:tabs>
        <w:tab w:val="clear" w:pos="720"/>
        <w:tab w:val="right" w:pos="8221"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表题">
    <w:name w:val="表题"/>
    <w:pPr>
      <w:spacing w:before="120" w:after="60"/>
      <w:jc w:val="center"/>
    </w:pPr>
    <w:rPr>
      <w:rFonts w:ascii="Times New Roman" w:hAnsi="Times New Roman" w:cs="Times New Roman" w:eastAsia="宋体"/>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34</Pages>
  <Words>15636</Words>
  <Characters>17218</Characters>
  <CharactersWithSpaces>17946</CharactersWithSpaces>
  <Paragraphs>568</Paragraphs>
</Properties>
</file>

<file path=docProps/core.xml><?xml version="1.0" encoding="utf-8"?>
<cp:coreProperties xmlns:cp="http://schemas.openxmlformats.org/package/2006/metadata/core-properties" xmlns:dc="http://purl.org/dc/elements/1.1/" xmlns:dcterms="http://purl.org/dc/terms/" xmlns:xsi="http://www.w3.org/2001/XMLSchema-instance">
  <dc:title>5.2 MVDR波束形成算法</dc:title>
  <cp:lastModifiedBy>python-docx</cp:lastModifiedBy>
  <cp:revision>1</cp:revision>
  <dcterms:modified xsi:type="dcterms:W3CDTF">2026-09-03T11:56:02Z</dcterms:modified>
  <dc:subject>GNSS天线分集可行性研究报告章节</dc:subject>
</cp:coreProperties>
</file>

<file path=docProps/custom.xml><?xml version="1.0" encoding="utf-8"?>
<Properties xmlns="http://schemas.openxmlformats.org/officeDocument/2006/custom-properties" xmlns:vt="http://schemas.openxmlformats.org/officeDocument/2006/docPropsVTypes"/>
</file>