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blind-nulling盲零陷方法原理"/>
    <w:p>
      <w:pPr>
        <w:pStyle w:val="Heading1"/>
        <w:spacing w:before="0" w:after="360"/>
        <w:ind w:firstLine="0"/>
        <w:jc w:val="center"/>
      </w:pPr>
      <w:r>
        <w:rPr>
          <w:rFonts w:ascii="Times New Roman" w:hAnsi="Times New Roman" w:eastAsia="宋体"/>
          <w:b/>
          <w:color w:val="000000"/>
          <w:sz w:val="36"/>
        </w:rPr>
        <w:t xml:space="preserve">Blind Nulling盲零陷方法原理</w:t>
      </w:r>
    </w:p>
    <w:bookmarkStart w:id="20" w:name="方法概述"/>
    <w:p>
      <w:pPr>
        <w:pStyle w:val="Heading2"/>
      </w:pPr>
      <w:r>
        <w:rPr>
          <w:rFonts w:ascii="Times New Roman" w:hAnsi="Times New Roman" w:eastAsia="宋体"/>
          <w:b/>
          <w:color w:val="000000"/>
          <w:sz w:val="28"/>
        </w:rPr>
        <w:t xml:space="preserve">方法概述</w:t>
      </w:r>
    </w:p>
    <w:p>
      <w:pPr>
        <w:pStyle w:val="FirstParagraph"/>
      </w:pPr>
      <w:r>
        <w:rPr>
          <w:rFonts w:ascii="Times New Roman" w:hAnsi="Times New Roman" w:eastAsia="宋体"/>
          <w:color w:val="000000"/>
          <w:sz w:val="24"/>
        </w:rPr>
        <w:t xml:space="preserve">在多天线GNSS接收系统中，强干扰通常会同时进入多个射频通道，并在不同天线通道之间呈现相对稳定的幅度和相位关系。与此相比，正常工作条件下各通道热噪声近似独立，而未经解扩的GNSS信号功率远低于噪声功率，因此其空间相关结构通常不会在短时原始IQ数据的协方差统计中形成显著主导模态。基于这一特点，可在不预先获知干扰来向、阵列几何结构及理论导向矢量的情况下，直接利用多通道接收数据估计干扰的主空间特征，并构造与该干扰空间正交的合并权值，从而实现盲零陷抑制（Blind Nulling）。</w:t>
      </w:r>
    </w:p>
    <w:p>
      <w:pPr>
        <w:pStyle w:val="BodyText"/>
      </w:pPr>
      <w:r>
        <w:rPr>
          <w:rFonts w:ascii="Times New Roman" w:hAnsi="Times New Roman" w:eastAsia="宋体"/>
          <w:color w:val="000000"/>
          <w:sz w:val="24"/>
        </w:rPr>
        <w:t xml:space="preserve">该方法可概括为四个主要步骤：首先根据多通道采样数据估计样本协方差矩阵；其次对各通道功率进行归一化，并通过特征值分解检测是否存在显著的主空间模态；随后利用最大特征值对应的特征向量估计干扰空间向量；最后在干扰空间的正交补空间内构造合并权值，使输出对估计干扰方向形成零响应，同时保留参考通道作为输出基准。</w:t>
      </w:r>
    </w:p>
    <w:p>
      <w:pPr>
        <w:pStyle w:val="BodyText"/>
      </w:pPr>
      <w:r>
        <w:rPr>
          <w:rFonts w:ascii="Times New Roman" w:hAnsi="Times New Roman" w:eastAsia="宋体"/>
          <w:color w:val="000000"/>
          <w:sz w:val="24"/>
        </w:rPr>
        <w:t xml:space="preserve">需要强调的是，Blind Nulling中的“方向”并不直接表示物理空间中的方位角或俯仰角，而是指由多个天线通道组成的复数向量空间中的方向。其本质是利用干扰在各接收通道上的复幅度关系进行空间相消，因此不依赖规则阵列假设，也不要求显式建立阵列流形模型，较适合天线布局不规则、互耦及射频通道幅相误差较明显的移动终端场景。</w:t>
      </w:r>
    </w:p>
    <w:bookmarkEnd w:id="20"/>
    <w:bookmarkStart w:id="21" w:name="多通道接收信号模型"/>
    <w:p>
      <w:pPr>
        <w:pStyle w:val="Heading2"/>
      </w:pPr>
      <w:r>
        <w:rPr>
          <w:rFonts w:ascii="Times New Roman" w:hAnsi="Times New Roman" w:eastAsia="宋体"/>
          <w:b/>
          <w:color w:val="000000"/>
          <w:sz w:val="28"/>
        </w:rPr>
        <w:t xml:space="preserve">多通道接收信号模型</w:t>
      </w:r>
    </w:p>
    <w:p>
      <w:pPr>
        <w:pStyle w:val="FirstParagraph"/>
        <w:spacing w:before="120" w:after="120"/>
        <w:ind w:firstLine="0"/>
        <w:jc w:val="center"/>
      </w:pPr>
      <w:r>
        <w:t xml:space="preserve">设接收机具有</w:t>
      </w:r>
      <w:r>
        <w:t xml:space="preserve"> </w:t>
      </w:r>
      <m:oMath>
        <m:r>
          <m:t>M</m:t>
        </m:r>
      </m:oMath>
      <w:r>
        <w:t xml:space="preserve"> </w:t>
      </w:r>
      <w:r>
        <w:t xml:space="preserve">个天线通道，在第</w:t>
      </w:r>
      <w:r>
        <w:t xml:space="preserve"> </w:t>
      </w:r>
      <m:oMath>
        <m:r>
          <m:t>n</m:t>
        </m:r>
      </m:oMath>
      <w:r>
        <w:t xml:space="preserve"> </w:t>
      </w:r>
      <w:r>
        <w:t xml:space="preserve">个采样时刻，各通道接收信号可写为</w:t>
      </w:r>
    </w:p>
    <w:p>
      <w:pPr>
        <w:pStyle w:val="BodyText"/>
        <w:spacing w:before="120" w:after="120"/>
        <w:ind w:firstLine="0"/>
        <w:jc w:val="center"/>
      </w:pPr>
      <m:oMathPara>
        <m:oMathParaPr>
          <m:jc m:val="center"/>
        </m:oMathParaPr>
        <m:oMath>
          <m:r>
            <m:rPr>
              <m:sty m:val="b"/>
            </m:rPr>
            <m:t>x</m:t>
          </m:r>
          <m:d>
            <m:dPr>
              <m:begChr m:val="["/>
              <m:endChr m:val="]"/>
              <m:sepChr m:val=""/>
              <m:grow/>
            </m:dPr>
            <m:e>
              <m:r>
                <m:t>n</m:t>
              </m:r>
            </m:e>
          </m:d>
          <m:r>
            <m:rPr>
              <m:sty m:val="p"/>
            </m:rPr>
            <m:t>=</m:t>
          </m:r>
          <m:sSub>
            <m:e>
              <m:r>
                <m:rPr>
                  <m:sty m:val="b"/>
                </m:rPr>
                <m:t>a</m:t>
              </m:r>
            </m:e>
            <m:sub>
              <m:r>
                <m:t>J</m:t>
              </m:r>
            </m:sub>
          </m:sSub>
          <m:r>
            <m:t>j</m:t>
          </m:r>
          <m:d>
            <m:dPr>
              <m:begChr m:val="["/>
              <m:endChr m:val="]"/>
              <m:sepChr m:val=""/>
              <m:grow/>
            </m:dPr>
            <m:e>
              <m:r>
                <m:t>n</m:t>
              </m:r>
            </m:e>
          </m:d>
          <m:r>
            <m:rPr>
              <m:sty m:val="p"/>
            </m:rPr>
            <m:t>+</m:t>
          </m:r>
          <m:nary>
            <m:naryPr>
              <m:chr m:val="∑"/>
              <m:limLoc m:val="undOvr"/>
              <m:subHide m:val="off"/>
              <m:supHide m:val="off"/>
            </m:naryPr>
            <m:sub>
              <m:r>
                <m:t>k</m:t>
              </m:r>
              <m:r>
                <m:rPr>
                  <m:sty m:val="p"/>
                </m:rPr>
                <m:t>=</m:t>
              </m:r>
              <m:r>
                <m:t>1</m:t>
              </m:r>
            </m:sub>
            <m:sup>
              <m:r>
                <m:t>K</m:t>
              </m:r>
            </m:sup>
            <m:e>
              <m:sSub>
                <m:e>
                  <m:r>
                    <m:rPr>
                      <m:sty m:val="b"/>
                    </m:rPr>
                    <m:t>a</m:t>
                  </m:r>
                </m:e>
                <m:sub>
                  <m:r>
                    <m:t>s</m:t>
                  </m:r>
                  <m:r>
                    <m:rPr>
                      <m:sty m:val="p"/>
                    </m:rPr>
                    <m:t>,</m:t>
                  </m:r>
                  <m:r>
                    <m:t>k</m:t>
                  </m:r>
                </m:sub>
              </m:sSub>
            </m:e>
          </m:nary>
          <m:sSub>
            <m:e>
              <m:r>
                <m:t>s</m:t>
              </m:r>
            </m:e>
            <m:sub>
              <m:r>
                <m:t>k</m:t>
              </m:r>
            </m:sub>
          </m:sSub>
          <m:d>
            <m:dPr>
              <m:begChr m:val="["/>
              <m:endChr m:val="]"/>
              <m:sepChr m:val=""/>
              <m:grow/>
            </m:dPr>
            <m:e>
              <m:r>
                <m:t>n</m:t>
              </m:r>
            </m:e>
          </m:d>
          <m:r>
            <m:rPr>
              <m:sty m:val="p"/>
            </m:rPr>
            <m:t>+</m:t>
          </m:r>
          <m:r>
            <m:rPr>
              <m:sty m:val="b"/>
            </m:rPr>
            <m:t>n</m:t>
          </m:r>
          <m:d>
            <m:dPr>
              <m:begChr m:val="["/>
              <m:endChr m:val="]"/>
              <m:sepChr m:val=""/>
              <m:grow/>
            </m:dPr>
            <m:e>
              <m:r>
                <m:t>n</m:t>
              </m:r>
            </m:e>
          </m:d>
          <m:r>
            <m:rPr>
              <m:sty m:val="p"/>
            </m:rPr>
            <m:t>.</m:t>
          </m:r>
        </m:oMath>
      </m:oMathPara>
    </w:p>
    <w:p>
      <w:pPr>
        <w:pStyle w:val="FirstParagraph"/>
        <w:spacing w:before="120" w:after="120"/>
        <w:ind w:firstLine="0"/>
        <w:jc w:val="center"/>
      </w:pPr>
      <w:r>
        <w:t xml:space="preserve">其中，</w:t>
      </w:r>
      <m:oMath>
        <m:r>
          <m:rPr>
            <m:sty m:val="b"/>
          </m:rPr>
          <m:t>x</m:t>
        </m:r>
        <m:d>
          <m:dPr>
            <m:begChr m:val="["/>
            <m:endChr m:val="]"/>
            <m:sepChr m:val=""/>
            <m:grow/>
          </m:dPr>
          <m:e>
            <m:r>
              <m:t>n</m:t>
            </m:r>
          </m:e>
        </m:d>
        <m:r>
          <m:rPr>
            <m:sty m:val="p"/>
          </m:rPr>
          <m:t>∈</m:t>
        </m:r>
        <m:sSup>
          <m:e>
            <m:r>
              <m:rPr>
                <m:sty m:val="p"/>
                <m:scr m:val="double-struck"/>
              </m:rPr>
              <m:t>C</m:t>
            </m:r>
          </m:e>
          <m:sup>
            <m:r>
              <m:t>M</m:t>
            </m:r>
            <m:r>
              <m:rPr>
                <m:sty m:val="p"/>
              </m:rPr>
              <m:t>×</m:t>
            </m:r>
            <m:r>
              <m:t>1</m:t>
            </m:r>
          </m:sup>
        </m:sSup>
      </m:oMath>
      <w:r>
        <w:t xml:space="preserve"> </w:t>
      </w:r>
      <w:r>
        <w:t xml:space="preserve">为多通道接收向量；</w:t>
      </w:r>
      <m:oMath>
        <m:r>
          <m:t>j</m:t>
        </m:r>
        <m:d>
          <m:dPr>
            <m:begChr m:val="["/>
            <m:endChr m:val="]"/>
            <m:sepChr m:val=""/>
            <m:grow/>
          </m:dPr>
          <m:e>
            <m:r>
              <m:t>n</m:t>
            </m:r>
          </m:e>
        </m:d>
      </m:oMath>
      <w:r>
        <w:t xml:space="preserve"> </w:t>
      </w:r>
      <w:r>
        <w:t xml:space="preserve">为干扰信号；</w:t>
      </w:r>
      <m:oMath>
        <m:sSub>
          <m:e>
            <m:r>
              <m:rPr>
                <m:sty m:val="b"/>
              </m:rPr>
              <m:t>a</m:t>
            </m:r>
          </m:e>
          <m:sub>
            <m:r>
              <m:t>J</m:t>
            </m:r>
          </m:sub>
        </m:sSub>
      </m:oMath>
      <w:r>
        <w:t xml:space="preserve"> </w:t>
      </w:r>
      <w:r>
        <w:t xml:space="preserve">为干扰在不同天线和射频通道上的复数响应向量；</w:t>
      </w:r>
      <m:oMath>
        <m:sSub>
          <m:e>
            <m:r>
              <m:t>s</m:t>
            </m:r>
          </m:e>
          <m:sub>
            <m:r>
              <m:t>k</m:t>
            </m:r>
          </m:sub>
        </m:sSub>
        <m:d>
          <m:dPr>
            <m:begChr m:val="["/>
            <m:endChr m:val="]"/>
            <m:sepChr m:val=""/>
            <m:grow/>
          </m:dPr>
          <m:e>
            <m:r>
              <m:t>n</m:t>
            </m:r>
          </m:e>
        </m:d>
      </m:oMath>
      <w:r>
        <w:t xml:space="preserve"> </w:t>
      </w:r>
      <w:r>
        <w:t xml:space="preserve">和</w:t>
      </w:r>
      <w:r>
        <w:t xml:space="preserve"> </w:t>
      </w:r>
      <m:oMath>
        <m:sSub>
          <m:e>
            <m:r>
              <m:rPr>
                <m:sty m:val="b"/>
              </m:rPr>
              <m:t>a</m:t>
            </m:r>
          </m:e>
          <m:sub>
            <m:r>
              <m:t>s</m:t>
            </m:r>
            <m:r>
              <m:rPr>
                <m:sty m:val="p"/>
              </m:rPr>
              <m:t>,</m:t>
            </m:r>
            <m:r>
              <m:t>k</m:t>
            </m:r>
          </m:sub>
        </m:sSub>
      </m:oMath>
      <w:r>
        <w:t xml:space="preserve"> </w:t>
      </w:r>
      <w:r>
        <w:t xml:space="preserve">分别表示第</w:t>
      </w:r>
      <w:r>
        <w:t xml:space="preserve"> </w:t>
      </w:r>
      <m:oMath>
        <m:r>
          <m:t>k</m:t>
        </m:r>
      </m:oMath>
      <w:r>
        <w:t xml:space="preserve"> </w:t>
      </w:r>
      <w:r>
        <w:t xml:space="preserve">颗GNSS卫星信号及其对应的空间响应向量；</w:t>
      </w:r>
      <m:oMath>
        <m:r>
          <m:rPr>
            <m:sty m:val="b"/>
          </m:rPr>
          <m:t>n</m:t>
        </m:r>
        <m:d>
          <m:dPr>
            <m:begChr m:val="["/>
            <m:endChr m:val="]"/>
            <m:sepChr m:val=""/>
            <m:grow/>
          </m:dPr>
          <m:e>
            <m:r>
              <m:t>n</m:t>
            </m:r>
          </m:e>
        </m:d>
      </m:oMath>
      <w:r>
        <w:t xml:space="preserve"> </w:t>
      </w:r>
      <w:r>
        <w:t xml:space="preserve">为多通道接收噪声。</w:t>
      </w:r>
    </w:p>
    <w:p>
      <w:pPr>
        <w:pStyle w:val="BodyText"/>
      </w:pPr>
      <w:r>
        <w:rPr>
          <w:rFonts w:ascii="Times New Roman" w:hAnsi="Times New Roman" w:eastAsia="宋体"/>
          <w:color w:val="000000"/>
          <w:sz w:val="24"/>
        </w:rPr>
        <w:t xml:space="preserve">对于单个主导干扰源，干扰分量可以写成</w:t>
      </w:r>
    </w:p>
    <w:p>
      <w:pPr>
        <w:pStyle w:val="BodyText"/>
        <w:spacing w:before="120" w:after="120"/>
        <w:ind w:firstLine="0"/>
        <w:jc w:val="center"/>
      </w:pPr>
      <m:oMathPara>
        <m:oMathParaPr>
          <m:jc m:val="center"/>
        </m:oMathParaPr>
        <m:oMath>
          <m:sSub>
            <m:e>
              <m:r>
                <m:rPr>
                  <m:sty m:val="b"/>
                </m:rPr>
                <m:t>x</m:t>
              </m:r>
            </m:e>
            <m:sub>
              <m:r>
                <m:t>J</m:t>
              </m:r>
            </m:sub>
          </m:sSub>
          <m:d>
            <m:dPr>
              <m:begChr m:val="["/>
              <m:endChr m:val="]"/>
              <m:sepChr m:val=""/>
              <m:grow/>
            </m:dPr>
            <m:e>
              <m:r>
                <m:t>n</m:t>
              </m:r>
            </m:e>
          </m:d>
          <m:r>
            <m:rPr>
              <m:sty m:val="p"/>
            </m:rPr>
            <m:t>=</m:t>
          </m:r>
          <m:sSub>
            <m:e>
              <m:r>
                <m:rPr>
                  <m:sty m:val="b"/>
                </m:rPr>
                <m:t>a</m:t>
              </m:r>
            </m:e>
            <m:sub>
              <m:r>
                <m:t>J</m:t>
              </m:r>
            </m:sub>
          </m:sSub>
          <m:r>
            <m:t>j</m:t>
          </m:r>
          <m:d>
            <m:dPr>
              <m:begChr m:val="["/>
              <m:endChr m:val="]"/>
              <m:sepChr m:val=""/>
              <m:grow/>
            </m:dPr>
            <m:e>
              <m:r>
                <m:t>n</m:t>
              </m:r>
            </m:e>
          </m:d>
          <m:r>
            <m:rPr>
              <m:sty m:val="p"/>
            </m:rPr>
            <m:t>,</m:t>
          </m:r>
        </m:oMath>
      </m:oMathPara>
    </w:p>
    <w:p>
      <w:pPr>
        <w:pStyle w:val="FirstParagraph"/>
      </w:pPr>
      <w:r>
        <w:rPr>
          <w:rFonts w:ascii="Times New Roman" w:hAnsi="Times New Roman" w:eastAsia="宋体"/>
          <w:color w:val="000000"/>
          <w:sz w:val="24"/>
        </w:rPr>
        <w:t xml:space="preserve">其中</w:t>
      </w:r>
    </w:p>
    <w:p>
      <w:pPr>
        <w:pStyle w:val="BodyText"/>
        <w:spacing w:before="120" w:after="120"/>
        <w:ind w:firstLine="0"/>
        <w:jc w:val="center"/>
      </w:pPr>
      <m:oMathPara>
        <m:oMathParaPr>
          <m:jc m:val="center"/>
        </m:oMathParaPr>
        <m:oMath>
          <m:sSub>
            <m:e>
              <m:r>
                <m:rPr>
                  <m:sty m:val="b"/>
                </m:rPr>
                <m:t>a</m:t>
              </m:r>
            </m:e>
            <m:sub>
              <m:r>
                <m:t>J</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J</m:t>
                            </m:r>
                            <m:r>
                              <m:rPr>
                                <m:sty m:val="p"/>
                              </m:rPr>
                              <m:t>,</m:t>
                            </m:r>
                            <m:r>
                              <m:t>1</m:t>
                            </m:r>
                          </m:sub>
                        </m:sSub>
                      </m:e>
                      <m:e>
                        <m:sSub>
                          <m:e>
                            <m:r>
                              <m:t>a</m:t>
                            </m:r>
                          </m:e>
                          <m:sub>
                            <m:r>
                              <m:t>J</m:t>
                            </m:r>
                            <m:r>
                              <m:rPr>
                                <m:sty m:val="p"/>
                              </m:rPr>
                              <m:t>,</m:t>
                            </m:r>
                            <m:r>
                              <m:t>2</m:t>
                            </m:r>
                          </m:sub>
                        </m:sSub>
                      </m:e>
                      <m:e>
                        <m:r>
                          <m:rPr>
                            <m:sty m:val="p"/>
                          </m:rPr>
                          <m:t>⋯</m:t>
                        </m:r>
                      </m:e>
                      <m:e>
                        <m:sSub>
                          <m:e>
                            <m:r>
                              <m:t>a</m:t>
                            </m:r>
                          </m:e>
                          <m:sub>
                            <m:r>
                              <m:t>J</m:t>
                            </m:r>
                            <m:r>
                              <m:rPr>
                                <m:sty m:val="p"/>
                              </m:rPr>
                              <m:t>,</m:t>
                            </m:r>
                            <m:r>
                              <m:t>M</m:t>
                            </m:r>
                          </m:sub>
                        </m:sSub>
                      </m:e>
                    </m:mr>
                  </m:m>
                </m:e>
              </m:d>
            </m:e>
            <m:sup>
              <m:r>
                <m:t>T</m:t>
              </m:r>
            </m:sup>
          </m:sSup>
          <m:r>
            <m:rPr>
              <m:sty m:val="p"/>
            </m:rPr>
            <m:t>.</m:t>
          </m:r>
        </m:oMath>
      </m:oMathPara>
    </w:p>
    <w:p>
      <w:pPr>
        <w:pStyle w:val="FirstParagraph"/>
        <w:spacing w:before="120" w:after="120"/>
        <w:ind w:firstLine="0"/>
        <w:jc w:val="center"/>
      </w:pPr>
      <w:r>
        <w:t xml:space="preserve">每个元素</w:t>
      </w:r>
      <w:r>
        <w:t xml:space="preserve"> </w:t>
      </w:r>
      <m:oMath>
        <m:sSub>
          <m:e>
            <m:r>
              <m:t>a</m:t>
            </m:r>
          </m:e>
          <m:sub>
            <m:r>
              <m:t>J</m:t>
            </m:r>
            <m:r>
              <m:rPr>
                <m:sty m:val="p"/>
              </m:rPr>
              <m:t>,</m:t>
            </m:r>
            <m:r>
              <m:t>m</m:t>
            </m:r>
          </m:sub>
        </m:sSub>
        <m:r>
          <m:rPr>
            <m:sty m:val="p"/>
          </m:rPr>
          <m:t>=</m:t>
        </m:r>
        <m:sSub>
          <m:e>
            <m:r>
              <m:t>A</m:t>
            </m:r>
          </m:e>
          <m:sub>
            <m:r>
              <m:t>J</m:t>
            </m:r>
            <m:r>
              <m:rPr>
                <m:sty m:val="p"/>
              </m:rPr>
              <m:t>,</m:t>
            </m:r>
            <m:r>
              <m:t>m</m:t>
            </m:r>
          </m:sub>
        </m:sSub>
        <m:sSup>
          <m:e>
            <m:r>
              <m:t>e</m:t>
            </m:r>
          </m:e>
          <m:sup>
            <m:r>
              <m:t>j</m:t>
            </m:r>
            <m:sSub>
              <m:e>
                <m:r>
                  <m:t>ϕ</m:t>
                </m:r>
              </m:e>
              <m:sub>
                <m:r>
                  <m:t>J</m:t>
                </m:r>
                <m:r>
                  <m:rPr>
                    <m:sty m:val="p"/>
                  </m:rPr>
                  <m:t>,</m:t>
                </m:r>
                <m:r>
                  <m:t>m</m:t>
                </m:r>
              </m:sub>
            </m:sSub>
          </m:sup>
        </m:sSup>
      </m:oMath>
      <w:r>
        <w:t xml:space="preserve"> </w:t>
      </w:r>
      <w:r>
        <w:t xml:space="preserve">同时包含干扰到达第</w:t>
      </w:r>
      <w:r>
        <w:t xml:space="preserve"> </w:t>
      </w:r>
      <m:oMath>
        <m:r>
          <m:t>m</m:t>
        </m:r>
      </m:oMath>
      <w:r>
        <w:t xml:space="preserve"> </w:t>
      </w:r>
      <w:r>
        <w:t xml:space="preserve">个通道后的幅度和相位信息。因此，即使干扰波形</w:t>
      </w:r>
      <w:r>
        <w:t xml:space="preserve"> </w:t>
      </w:r>
      <m:oMath>
        <m:r>
          <m:t>j</m:t>
        </m:r>
        <m:d>
          <m:dPr>
            <m:begChr m:val="["/>
            <m:endChr m:val="]"/>
            <m:sepChr m:val=""/>
            <m:grow/>
          </m:dPr>
          <m:e>
            <m:r>
              <m:t>n</m:t>
            </m:r>
          </m:e>
        </m:d>
      </m:oMath>
      <w:r>
        <w:t xml:space="preserve"> </w:t>
      </w:r>
      <w:r>
        <w:t xml:space="preserve">随时间变化，其在短时间内的跨通道幅相关系仍可近似由固定向量</w:t>
      </w:r>
      <w:r>
        <w:t xml:space="preserve"> </w:t>
      </w:r>
      <m:oMath>
        <m:sSub>
          <m:e>
            <m:r>
              <m:rPr>
                <m:sty m:val="b"/>
              </m:rPr>
              <m:t>a</m:t>
            </m:r>
          </m:e>
          <m:sub>
            <m:r>
              <m:t>J</m:t>
            </m:r>
          </m:sub>
        </m:sSub>
      </m:oMath>
      <w:r>
        <w:t xml:space="preserve"> </w:t>
      </w:r>
      <w:r>
        <w:t xml:space="preserve">描述。</w:t>
      </w:r>
    </w:p>
    <w:p>
      <w:pPr>
        <w:pStyle w:val="BodyText"/>
        <w:spacing w:before="120" w:after="120"/>
        <w:ind w:firstLine="0"/>
        <w:jc w:val="center"/>
      </w:pPr>
      <w:r>
        <w:t xml:space="preserve">将连续的</w:t>
      </w:r>
      <w:r>
        <w:t xml:space="preserve"> </w:t>
      </w:r>
      <m:oMath>
        <m:r>
          <m:t>N</m:t>
        </m:r>
      </m:oMath>
      <w:r>
        <w:t xml:space="preserve"> </w:t>
      </w:r>
      <w:r>
        <w:t xml:space="preserve">个采样快拍组织成矩阵</w:t>
      </w:r>
    </w:p>
    <w:p>
      <w:pPr>
        <w:pStyle w:val="BodyText"/>
        <w:spacing w:before="120" w:after="120"/>
        <w:ind w:firstLine="0"/>
        <w:jc w:val="center"/>
      </w:pPr>
      <m:oMathPara>
        <m:oMathParaPr>
          <m:jc m:val="center"/>
        </m:oMathParaPr>
        <m:oMath>
          <m:r>
            <m:rPr>
              <m:sty m:val="b"/>
            </m:rPr>
            <m:t>X</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b"/>
                      </m:rPr>
                      <m:t>x</m:t>
                    </m:r>
                    <m:d>
                      <m:dPr>
                        <m:begChr m:val="["/>
                        <m:endChr m:val="]"/>
                        <m:sepChr m:val=""/>
                        <m:grow/>
                      </m:dPr>
                      <m:e>
                        <m:r>
                          <m:t>1</m:t>
                        </m:r>
                      </m:e>
                    </m:d>
                  </m:e>
                  <m:e>
                    <m:r>
                      <m:rPr>
                        <m:sty m:val="b"/>
                      </m:rPr>
                      <m:t>x</m:t>
                    </m:r>
                    <m:d>
                      <m:dPr>
                        <m:begChr m:val="["/>
                        <m:endChr m:val="]"/>
                        <m:sepChr m:val=""/>
                        <m:grow/>
                      </m:dPr>
                      <m:e>
                        <m:r>
                          <m:t>2</m:t>
                        </m:r>
                      </m:e>
                    </m:d>
                  </m:e>
                  <m:e>
                    <m:r>
                      <m:rPr>
                        <m:sty m:val="p"/>
                      </m:rPr>
                      <m:t>⋯</m:t>
                    </m:r>
                  </m:e>
                  <m:e>
                    <m:r>
                      <m:rPr>
                        <m:sty m:val="b"/>
                      </m:rPr>
                      <m:t>x</m:t>
                    </m:r>
                    <m:d>
                      <m:dPr>
                        <m:begChr m:val="["/>
                        <m:endChr m:val="]"/>
                        <m:sepChr m:val=""/>
                        <m:grow/>
                      </m:dPr>
                      <m:e>
                        <m:r>
                          <m:t>N</m:t>
                        </m:r>
                      </m:e>
                    </m:d>
                  </m:e>
                </m:mr>
              </m:m>
            </m:e>
          </m:d>
          <m:r>
            <m:rPr>
              <m:sty m:val="p"/>
            </m:rPr>
            <m:t>∈</m:t>
          </m:r>
          <m:sSup>
            <m:e>
              <m:r>
                <m:rPr>
                  <m:sty m:val="p"/>
                  <m:scr m:val="double-struck"/>
                </m:rPr>
                <m:t>C</m:t>
              </m:r>
            </m:e>
            <m:sup>
              <m:r>
                <m:t>M</m:t>
              </m:r>
              <m:r>
                <m:rPr>
                  <m:sty m:val="p"/>
                </m:rPr>
                <m:t>×</m:t>
              </m:r>
              <m:r>
                <m:t>N</m:t>
              </m:r>
            </m:sup>
          </m:sSup>
          <m:r>
            <m:rPr>
              <m:sty m:val="p"/>
            </m:rPr>
            <m:t>.</m:t>
          </m:r>
        </m:oMath>
      </m:oMathPara>
    </w:p>
    <w:p>
      <w:pPr>
        <w:pStyle w:val="FirstParagraph"/>
      </w:pPr>
      <w:r>
        <w:rPr>
          <w:rFonts w:ascii="Times New Roman" w:hAnsi="Times New Roman" w:eastAsia="宋体"/>
          <w:color w:val="000000"/>
          <w:sz w:val="24"/>
        </w:rPr>
        <w:t xml:space="preserve">Blind Nulling即以该多通道快拍矩阵为输入，从统计意义上提取主导干扰所对应的空间向量。</w:t>
      </w:r>
    </w:p>
    <w:bookmarkEnd w:id="21"/>
    <w:bookmarkStart w:id="22" w:name="样本协方差矩阵估计"/>
    <w:p>
      <w:pPr>
        <w:pStyle w:val="Heading2"/>
      </w:pPr>
      <w:r>
        <w:rPr>
          <w:rFonts w:ascii="Times New Roman" w:hAnsi="Times New Roman" w:eastAsia="宋体"/>
          <w:b/>
          <w:color w:val="000000"/>
          <w:sz w:val="28"/>
        </w:rPr>
        <w:t xml:space="preserve">样本协方差矩阵估计</w:t>
      </w:r>
    </w:p>
    <w:p>
      <w:pPr>
        <w:pStyle w:val="FirstParagraph"/>
        <w:spacing w:before="120" w:after="120"/>
        <w:ind w:firstLine="0"/>
        <w:jc w:val="center"/>
      </w:pPr>
      <w:r>
        <w:t xml:space="preserve">根据</w:t>
      </w:r>
      <w:r>
        <w:t xml:space="preserve"> </w:t>
      </w:r>
      <m:oMath>
        <m:r>
          <m:t>N</m:t>
        </m:r>
      </m:oMath>
      <w:r>
        <w:t xml:space="preserve"> </w:t>
      </w:r>
      <w:r>
        <w:t xml:space="preserve">个快拍，可构造样本协方差矩阵</w:t>
      </w:r>
    </w:p>
    <w:p>
      <w:pPr>
        <w:pStyle w:val="BodyText"/>
        <w:spacing w:before="120" w:after="120"/>
        <w:ind w:firstLine="0"/>
        <w:jc w:val="center"/>
      </w:pPr>
      <m:oMathPara>
        <m:oMathParaPr>
          <m:jc m:val="center"/>
        </m:oMathParaPr>
        <m:oMath>
          <m:sSub>
            <m:e>
              <m:acc>
                <m:accPr>
                  <m:chr m:val="̂"/>
                </m:accPr>
                <m:e>
                  <m:r>
                    <m:rPr>
                      <m:sty m:val="b"/>
                    </m:rPr>
                    <m:t>R</m:t>
                  </m:r>
                </m:e>
              </m:acc>
            </m:e>
            <m:sub>
              <m:r>
                <m:t>x</m:t>
              </m:r>
            </m:sub>
          </m:sSub>
          <m:r>
            <m:rPr>
              <m:sty m:val="p"/>
            </m:rPr>
            <m:t>=</m:t>
          </m:r>
          <m:f>
            <m:fPr>
              <m:type m:val="bar"/>
            </m:fPr>
            <m:num>
              <m:r>
                <m:t>1</m:t>
              </m:r>
            </m:num>
            <m:den>
              <m:r>
                <m:t>N</m:t>
              </m:r>
            </m:den>
          </m:f>
          <m:r>
            <m:rPr>
              <m:sty m:val="b"/>
            </m:rPr>
            <m:t>X</m:t>
          </m:r>
          <m:sSup>
            <m:e>
              <m:r>
                <m:rPr>
                  <m:sty m:val="b"/>
                </m:rPr>
                <m:t>X</m:t>
              </m:r>
            </m:e>
            <m:sup>
              <m:r>
                <m:t>H</m:t>
              </m:r>
            </m:sup>
          </m:sSup>
          <m:r>
            <m:rPr>
              <m:sty m:val="p"/>
            </m:rPr>
            <m:t>.</m:t>
          </m:r>
        </m:oMath>
      </m:oMathPara>
    </w:p>
    <w:p>
      <w:pPr>
        <w:pStyle w:val="FirstParagraph"/>
        <w:spacing w:before="120" w:after="120"/>
        <w:ind w:firstLine="0"/>
        <w:jc w:val="center"/>
      </w:pPr>
      <w:r>
        <w:t xml:space="preserve">其第</w:t>
      </w:r>
      <w:r>
        <w:t xml:space="preserve"> </w:t>
      </w:r>
      <m:oMath>
        <m:r>
          <m:t>i</m:t>
        </m:r>
      </m:oMath>
      <w:r>
        <w:t xml:space="preserve"> </w:t>
      </w:r>
      <w:r>
        <w:t xml:space="preserve">行、第</w:t>
      </w:r>
      <w:r>
        <w:t xml:space="preserve"> </w:t>
      </w:r>
      <m:oMath>
        <m:r>
          <m:t>j</m:t>
        </m:r>
      </m:oMath>
      <w:r>
        <w:t xml:space="preserve"> </w:t>
      </w:r>
      <w:r>
        <w:t xml:space="preserve">列元素为</w:t>
      </w:r>
    </w:p>
    <w:p>
      <w:pPr>
        <w:pStyle w:val="BodyText"/>
        <w:spacing w:before="120" w:after="120"/>
        <w:ind w:firstLine="0"/>
        <w:jc w:val="center"/>
      </w:pPr>
      <m:oMathPara>
        <m:oMathParaPr>
          <m:jc m:val="center"/>
        </m:oMathParaPr>
        <m:oMath>
          <m:sSub>
            <m:e>
              <m:acc>
                <m:accPr>
                  <m:chr m:val="̂"/>
                </m:accPr>
                <m:e>
                  <m:r>
                    <m:t>R</m:t>
                  </m:r>
                </m:e>
              </m:acc>
            </m:e>
            <m:sub>
              <m:r>
                <m:t>i</m:t>
              </m:r>
              <m:r>
                <m:t>j</m:t>
              </m:r>
            </m:sub>
          </m:sSub>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sSub>
                <m:e>
                  <m:r>
                    <m:t>x</m:t>
                  </m:r>
                </m:e>
                <m:sub>
                  <m:r>
                    <m:t>i</m:t>
                  </m:r>
                </m:sub>
              </m:sSub>
            </m:e>
          </m:nary>
          <m:d>
            <m:dPr>
              <m:begChr m:val="["/>
              <m:endChr m:val="]"/>
              <m:sepChr m:val=""/>
              <m:grow/>
            </m:dPr>
            <m:e>
              <m:r>
                <m:t>n</m:t>
              </m:r>
            </m:e>
          </m:d>
          <m:bar>
            <m:barPr>
              <m:pos m:val="top"/>
            </m:barPr>
            <m:e>
              <m:sSub>
                <m:e>
                  <m:r>
                    <m:t>x</m:t>
                  </m:r>
                </m:e>
                <m:sub>
                  <m:r>
                    <m:t>j</m:t>
                  </m:r>
                </m:sub>
              </m:sSub>
              <m:d>
                <m:dPr>
                  <m:begChr m:val="["/>
                  <m:endChr m:val="]"/>
                  <m:sepChr m:val=""/>
                  <m:grow/>
                </m:dPr>
                <m:e>
                  <m:r>
                    <m:t>n</m:t>
                  </m:r>
                </m:e>
              </m:d>
            </m:e>
          </m:bar>
          <m:r>
            <m:rPr>
              <m:sty m:val="p"/>
            </m:rPr>
            <m:t>.</m:t>
          </m:r>
        </m:oMath>
      </m:oMathPara>
    </w:p>
    <w:p>
      <w:pPr>
        <w:pStyle w:val="FirstParagraph"/>
      </w:pPr>
      <w:r>
        <w:rPr>
          <w:rFonts w:ascii="Times New Roman" w:hAnsi="Times New Roman" w:eastAsia="宋体"/>
          <w:color w:val="000000"/>
          <w:sz w:val="24"/>
        </w:rPr>
        <w:t xml:space="preserve">其中，对角元素</w:t>
      </w:r>
    </w:p>
    <w:p>
      <w:pPr>
        <w:pStyle w:val="BodyText"/>
        <w:spacing w:before="120" w:after="120"/>
        <w:ind w:firstLine="0"/>
        <w:jc w:val="center"/>
      </w:pPr>
      <m:oMathPara>
        <m:oMathParaPr>
          <m:jc m:val="center"/>
        </m:oMathParaPr>
        <m:oMath>
          <m:sSub>
            <m:e>
              <m:acc>
                <m:accPr>
                  <m:chr m:val="̂"/>
                </m:accPr>
                <m:e>
                  <m:r>
                    <m:t>R</m:t>
                  </m:r>
                </m:e>
              </m:acc>
            </m:e>
            <m:sub>
              <m:r>
                <m:t>i</m:t>
              </m:r>
              <m:r>
                <m:t>i</m:t>
              </m:r>
            </m:sub>
          </m:sSub>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sSup>
                <m:e>
                  <m:d>
                    <m:dPr>
                      <m:begChr m:val="|"/>
                      <m:endChr m:val="|"/>
                      <m:sepChr m:val=""/>
                      <m:grow/>
                    </m:dPr>
                    <m:e>
                      <m:sSub>
                        <m:e>
                          <m:r>
                            <m:t>x</m:t>
                          </m:r>
                        </m:e>
                        <m:sub>
                          <m:r>
                            <m:t>i</m:t>
                          </m:r>
                        </m:sub>
                      </m:sSub>
                      <m:d>
                        <m:dPr>
                          <m:begChr m:val="["/>
                          <m:endChr m:val="]"/>
                          <m:sepChr m:val=""/>
                          <m:grow/>
                        </m:dPr>
                        <m:e>
                          <m:r>
                            <m:t>n</m:t>
                          </m:r>
                        </m:e>
                      </m:d>
                    </m:e>
                  </m:d>
                </m:e>
                <m:sup>
                  <m:r>
                    <m:t>2</m:t>
                  </m:r>
                </m:sup>
              </m:sSup>
            </m:e>
          </m:nary>
        </m:oMath>
      </m:oMathPara>
    </w:p>
    <w:p>
      <w:pPr>
        <w:pStyle w:val="FirstParagraph"/>
        <w:spacing w:before="120" w:after="120"/>
        <w:ind w:firstLine="0"/>
        <w:jc w:val="center"/>
      </w:pPr>
      <w:r>
        <w:t xml:space="preserve">表示第</w:t>
      </w:r>
      <w:r>
        <w:t xml:space="preserve"> </w:t>
      </w:r>
      <m:oMath>
        <m:r>
          <m:t>i</m:t>
        </m:r>
      </m:oMath>
      <w:r>
        <w:t xml:space="preserve"> </w:t>
      </w:r>
      <w:r>
        <w:t xml:space="preserve">个通道的平均输入功率；非对角元素则反映不同接收通道之间的复相关关系。当两个通道主要包含相互独立的热噪声时，随着统计快拍数增加，其互相关项趋近于零；而当多个通道同时接收到同一个强干扰源时，对应的互相关项通常具有显著幅度和稳定相位。</w:t>
      </w:r>
    </w:p>
    <w:p>
      <w:pPr>
        <w:pStyle w:val="BodyText"/>
      </w:pPr>
      <w:r>
        <w:rPr>
          <w:rFonts w:ascii="Times New Roman" w:hAnsi="Times New Roman" w:eastAsia="宋体"/>
          <w:color w:val="000000"/>
          <w:sz w:val="24"/>
        </w:rPr>
        <w:t xml:space="preserve">对于单个强干扰占主导的情形，在忽略弱GNSS信号的情况下有</w:t>
      </w:r>
    </w:p>
    <w:p>
      <w:pPr>
        <w:pStyle w:val="BodyText"/>
        <w:spacing w:before="120" w:after="120"/>
        <w:ind w:firstLine="0"/>
        <w:jc w:val="center"/>
      </w:pPr>
      <m:oMathPara>
        <m:oMathParaPr>
          <m:jc m:val="center"/>
        </m:oMathParaPr>
        <m:oMath>
          <m:sSub>
            <m:e>
              <m:r>
                <m:rPr>
                  <m:sty m:val="b"/>
                </m:rPr>
                <m:t>R</m:t>
              </m:r>
            </m:e>
            <m:sub>
              <m:r>
                <m:t>x</m:t>
              </m:r>
            </m:sub>
          </m:sSub>
          <m:r>
            <m:rPr>
              <m:sty m:val="p"/>
            </m:rPr>
            <m:t>≈</m:t>
          </m:r>
          <m:sSub>
            <m:e>
              <m:r>
                <m:t>P</m:t>
              </m:r>
            </m:e>
            <m:sub>
              <m:r>
                <m:t>J</m:t>
              </m:r>
            </m:sub>
          </m:sSub>
          <m:sSub>
            <m:e>
              <m:r>
                <m:rPr>
                  <m:sty m:val="b"/>
                </m:rPr>
                <m:t>a</m:t>
              </m:r>
            </m:e>
            <m:sub>
              <m:r>
                <m:t>J</m:t>
              </m:r>
            </m:sub>
          </m:sSub>
          <m:sSubSup>
            <m:e>
              <m:r>
                <m:rPr>
                  <m:sty m:val="b"/>
                </m:rPr>
                <m:t>a</m:t>
              </m:r>
            </m:e>
            <m:sub>
              <m:r>
                <m:t>J</m:t>
              </m:r>
            </m:sub>
            <m:sup>
              <m:r>
                <m:t>H</m:t>
              </m:r>
            </m:sup>
          </m:sSubSup>
          <m:r>
            <m:rPr>
              <m:sty m:val="p"/>
            </m:rPr>
            <m:t>+</m:t>
          </m:r>
          <m:sSub>
            <m:e>
              <m:r>
                <m:rPr>
                  <m:sty m:val="b"/>
                </m:rPr>
                <m:t>R</m:t>
              </m:r>
            </m:e>
            <m:sub>
              <m:r>
                <m:t>n</m:t>
              </m:r>
            </m:sub>
          </m:sSub>
          <m:r>
            <m:rPr>
              <m:sty m:val="p"/>
            </m:rPr>
            <m:t>,</m:t>
          </m:r>
        </m:oMath>
      </m:oMathPara>
    </w:p>
    <w:p>
      <w:pPr>
        <w:pStyle w:val="FirstParagraph"/>
        <w:spacing w:before="120" w:after="120"/>
        <w:ind w:firstLine="0"/>
        <w:jc w:val="center"/>
      </w:pPr>
      <w:r>
        <w:t xml:space="preserve">其中</w:t>
      </w:r>
      <w:r>
        <w:t xml:space="preserve"> </w:t>
      </w:r>
      <m:oMath>
        <m:sSub>
          <m:e>
            <m:r>
              <m:t>P</m:t>
            </m:r>
          </m:e>
          <m:sub>
            <m:r>
              <m:t>J</m:t>
            </m:r>
          </m:sub>
        </m:sSub>
        <m:r>
          <m:rPr>
            <m:sty m:val="p"/>
          </m:rPr>
          <m:t>=</m:t>
        </m:r>
        <m:r>
          <m:t>E</m:t>
        </m:r>
        <m:r>
          <m:rPr>
            <m:sty m:val="p"/>
          </m:rPr>
          <m:t>{</m:t>
        </m:r>
        <m:sSup>
          <m:e>
            <m:d>
              <m:dPr>
                <m:begChr m:val="|"/>
                <m:endChr m:val="|"/>
                <m:sepChr m:val=""/>
                <m:grow/>
              </m:dPr>
              <m:e>
                <m:r>
                  <m:t>j</m:t>
                </m:r>
                <m:d>
                  <m:dPr>
                    <m:begChr m:val="["/>
                    <m:endChr m:val="]"/>
                    <m:sepChr m:val=""/>
                    <m:grow/>
                  </m:dPr>
                  <m:e>
                    <m:r>
                      <m:t>n</m:t>
                    </m:r>
                  </m:e>
                </m:d>
              </m:e>
            </m:d>
          </m:e>
          <m:sup>
            <m:r>
              <m:t>2</m:t>
            </m:r>
          </m:sup>
        </m:sSup>
        <m:r>
          <m:rPr>
            <m:sty m:val="p"/>
          </m:rPr>
          <m:t>}</m:t>
        </m:r>
      </m:oMath>
      <w:r>
        <w:t xml:space="preserve"> </w:t>
      </w:r>
      <w:r>
        <w:t xml:space="preserve">为干扰功率，</w:t>
      </w:r>
      <m:oMath>
        <m:sSub>
          <m:e>
            <m:r>
              <m:rPr>
                <m:sty m:val="b"/>
              </m:rPr>
              <m:t>R</m:t>
            </m:r>
          </m:e>
          <m:sub>
            <m:r>
              <m:t>n</m:t>
            </m:r>
          </m:sub>
        </m:sSub>
      </m:oMath>
      <w:r>
        <w:t xml:space="preserve"> </w:t>
      </w:r>
      <w:r>
        <w:t xml:space="preserve">为噪声协方差矩阵。若各通道噪声近似独立且功率接近，则可进一步近似为</w:t>
      </w:r>
    </w:p>
    <w:p>
      <w:pPr>
        <w:pStyle w:val="BodyText"/>
        <w:spacing w:before="120" w:after="120"/>
        <w:ind w:firstLine="0"/>
        <w:jc w:val="center"/>
      </w:pPr>
      <m:oMathPara>
        <m:oMathParaPr>
          <m:jc m:val="center"/>
        </m:oMathParaPr>
        <m:oMath>
          <m:sSub>
            <m:e>
              <m:r>
                <m:rPr>
                  <m:sty m:val="b"/>
                </m:rPr>
                <m:t>R</m:t>
              </m:r>
            </m:e>
            <m:sub>
              <m:r>
                <m:t>x</m:t>
              </m:r>
            </m:sub>
          </m:sSub>
          <m:r>
            <m:rPr>
              <m:sty m:val="p"/>
            </m:rPr>
            <m:t>≈</m:t>
          </m:r>
          <m:sSub>
            <m:e>
              <m:r>
                <m:t>P</m:t>
              </m:r>
            </m:e>
            <m:sub>
              <m:r>
                <m:t>J</m:t>
              </m:r>
            </m:sub>
          </m:sSub>
          <m:sSub>
            <m:e>
              <m:r>
                <m:rPr>
                  <m:sty m:val="b"/>
                </m:rPr>
                <m:t>a</m:t>
              </m:r>
            </m:e>
            <m:sub>
              <m:r>
                <m:t>J</m:t>
              </m:r>
            </m:sub>
          </m:sSub>
          <m:sSubSup>
            <m:e>
              <m:r>
                <m:rPr>
                  <m:sty m:val="b"/>
                </m:rPr>
                <m:t>a</m:t>
              </m:r>
            </m:e>
            <m:sub>
              <m:r>
                <m:t>J</m:t>
              </m:r>
            </m:sub>
            <m:sup>
              <m:r>
                <m:t>H</m:t>
              </m:r>
            </m:sup>
          </m:sSubSup>
          <m:r>
            <m:rPr>
              <m:sty m:val="p"/>
            </m:rPr>
            <m:t>+</m:t>
          </m:r>
          <m:sSubSup>
            <m:e>
              <m:r>
                <m:t>σ</m:t>
              </m:r>
            </m:e>
            <m:sub>
              <m:r>
                <m:t>n</m:t>
              </m:r>
            </m:sub>
            <m:sup>
              <m:r>
                <m:t>2</m:t>
              </m:r>
            </m:sup>
          </m:sSubSup>
          <m:r>
            <m:rPr>
              <m:sty m:val="b"/>
            </m:rPr>
            <m:t>I</m:t>
          </m:r>
          <m:r>
            <m:rPr>
              <m:sty m:val="p"/>
            </m:rPr>
            <m:t>.</m:t>
          </m:r>
        </m:oMath>
      </m:oMathPara>
    </w:p>
    <w:p>
      <w:pPr>
        <w:pStyle w:val="FirstParagraph"/>
        <w:spacing w:before="120" w:after="120"/>
        <w:ind w:firstLine="0"/>
        <w:jc w:val="center"/>
      </w:pPr>
      <w:r>
        <w:t xml:space="preserve">矩阵</w:t>
      </w:r>
      <w:r>
        <w:t xml:space="preserve"> </w:t>
      </w:r>
      <m:oMath>
        <m:sSub>
          <m:e>
            <m:r>
              <m:rPr>
                <m:sty m:val="b"/>
              </m:rPr>
              <m:t>a</m:t>
            </m:r>
          </m:e>
          <m:sub>
            <m:r>
              <m:t>J</m:t>
            </m:r>
          </m:sub>
        </m:sSub>
        <m:sSubSup>
          <m:e>
            <m:r>
              <m:rPr>
                <m:sty m:val="b"/>
              </m:rPr>
              <m:t>a</m:t>
            </m:r>
          </m:e>
          <m:sub>
            <m:r>
              <m:t>J</m:t>
            </m:r>
          </m:sub>
          <m:sup>
            <m:r>
              <m:t>H</m:t>
            </m:r>
          </m:sup>
        </m:sSubSup>
      </m:oMath>
      <w:r>
        <w:t xml:space="preserve"> </w:t>
      </w:r>
      <w:r>
        <w:t xml:space="preserve">为秩1矩阵，因此当干扰功率足够高时，协方差矩阵中会形成一个明显强于其余空间方向的主特征模态。这是利用特征值分解估计干扰空间方向的基础。</w:t>
      </w:r>
    </w:p>
    <w:bookmarkEnd w:id="22"/>
    <w:bookmarkStart w:id="23" w:name="通道功率归一化与相关矩阵构造"/>
    <w:p>
      <w:pPr>
        <w:pStyle w:val="Heading2"/>
      </w:pPr>
      <w:r>
        <w:rPr>
          <w:rFonts w:ascii="Times New Roman" w:hAnsi="Times New Roman" w:eastAsia="宋体"/>
          <w:b/>
          <w:color w:val="000000"/>
          <w:sz w:val="28"/>
        </w:rPr>
        <w:t xml:space="preserve">通道功率归一化与相关矩阵构造</w:t>
      </w:r>
    </w:p>
    <w:p>
      <w:pPr>
        <w:pStyle w:val="FirstParagraph"/>
      </w:pPr>
      <w:r>
        <w:rPr>
          <w:rFonts w:ascii="Times New Roman" w:hAnsi="Times New Roman" w:eastAsia="宋体"/>
          <w:color w:val="000000"/>
          <w:sz w:val="24"/>
        </w:rPr>
        <w:t xml:space="preserve">直接对样本协方差矩阵进行特征值分解时，若不同射频通道之间存在较大的增益差异，高功率通道可能对特征结构产生较强影响。为了使干扰检测更多反映跨通道相干性，而不是单纯反映某一通道的绝对功率，可首先根据协方差矩阵对角元素构造通道尺度矩阵</w:t>
      </w:r>
    </w:p>
    <w:p>
      <w:pPr>
        <w:pStyle w:val="BodyText"/>
        <w:spacing w:before="120" w:after="120"/>
        <w:ind w:firstLine="0"/>
        <w:jc w:val="center"/>
      </w:pPr>
      <m:oMathPara>
        <m:oMathParaPr>
          <m:jc m:val="center"/>
        </m:oMathParaPr>
        <m:oMath>
          <m:r>
            <m:rPr>
              <m:sty m:val="b"/>
            </m:rPr>
            <m:t>D</m:t>
          </m:r>
          <m:r>
            <m:rPr>
              <m:sty m:val="p"/>
            </m:rPr>
            <m:t>=</m:t>
          </m:r>
          <m:r>
            <m:rPr>
              <m:sty m:val="p"/>
            </m:rPr>
            <m:t>diag</m:t>
          </m:r>
          <m:d>
            <m:dPr>
              <m:begChr m:val="("/>
              <m:endChr m:val=")"/>
              <m:sepChr m:val=""/>
              <m:grow/>
            </m:dPr>
            <m:e>
              <m:rad>
                <m:radPr>
                  <m:degHide m:val="on"/>
                </m:radPr>
                <m:deg/>
                <m:e>
                  <m:sSub>
                    <m:e>
                      <m:acc>
                        <m:accPr>
                          <m:chr m:val="̂"/>
                        </m:accPr>
                        <m:e>
                          <m:r>
                            <m:t>R</m:t>
                          </m:r>
                        </m:e>
                      </m:acc>
                    </m:e>
                    <m:sub>
                      <m:r>
                        <m:t>11</m:t>
                      </m:r>
                    </m:sub>
                  </m:sSub>
                </m:e>
              </m:rad>
              <m:r>
                <m:rPr>
                  <m:sty m:val="p"/>
                </m:rPr>
                <m:t>,</m:t>
              </m:r>
              <m:rad>
                <m:radPr>
                  <m:degHide m:val="on"/>
                </m:radPr>
                <m:deg/>
                <m:e>
                  <m:sSub>
                    <m:e>
                      <m:acc>
                        <m:accPr>
                          <m:chr m:val="̂"/>
                        </m:accPr>
                        <m:e>
                          <m:r>
                            <m:t>R</m:t>
                          </m:r>
                        </m:e>
                      </m:acc>
                    </m:e>
                    <m:sub>
                      <m:r>
                        <m:t>22</m:t>
                      </m:r>
                    </m:sub>
                  </m:sSub>
                </m:e>
              </m:rad>
              <m:r>
                <m:rPr>
                  <m:sty m:val="p"/>
                </m:rPr>
                <m:t>,</m:t>
              </m:r>
              <m:r>
                <m:rPr>
                  <m:sty m:val="p"/>
                </m:rPr>
                <m:t>…</m:t>
              </m:r>
              <m:r>
                <m:rPr>
                  <m:sty m:val="p"/>
                </m:rPr>
                <m:t>,</m:t>
              </m:r>
              <m:rad>
                <m:radPr>
                  <m:degHide m:val="on"/>
                </m:radPr>
                <m:deg/>
                <m:e>
                  <m:sSub>
                    <m:e>
                      <m:acc>
                        <m:accPr>
                          <m:chr m:val="̂"/>
                        </m:accPr>
                        <m:e>
                          <m:r>
                            <m:t>R</m:t>
                          </m:r>
                        </m:e>
                      </m:acc>
                    </m:e>
                    <m:sub>
                      <m:r>
                        <m:t>M</m:t>
                      </m:r>
                      <m:r>
                        <m:t>M</m:t>
                      </m:r>
                    </m:sub>
                  </m:sSub>
                </m:e>
              </m:rad>
            </m:e>
          </m:d>
          <m:r>
            <m:rPr>
              <m:sty m:val="p"/>
            </m:rPr>
            <m:t>.</m:t>
          </m:r>
        </m:oMath>
      </m:oMathPara>
    </w:p>
    <w:p>
      <w:pPr>
        <w:pStyle w:val="FirstParagraph"/>
      </w:pPr>
      <w:r>
        <w:rPr>
          <w:rFonts w:ascii="Times New Roman" w:hAnsi="Times New Roman" w:eastAsia="宋体"/>
          <w:color w:val="000000"/>
          <w:sz w:val="24"/>
        </w:rPr>
        <w:t xml:space="preserve">随后构造归一化相关矩阵</w:t>
      </w:r>
    </w:p>
    <w:p>
      <w:pPr>
        <w:pStyle w:val="BodyText"/>
        <w:spacing w:before="120" w:after="120"/>
        <w:ind w:firstLine="0"/>
        <w:jc w:val="center"/>
      </w:pPr>
      <m:oMathPara>
        <m:oMathParaPr>
          <m:jc m:val="center"/>
        </m:oMathParaPr>
        <m:oMath>
          <m:r>
            <m:rPr>
              <m:sty m:val="b"/>
            </m:rPr>
            <m:t>C</m:t>
          </m:r>
          <m:r>
            <m:rPr>
              <m:sty m:val="p"/>
            </m:rPr>
            <m:t>=</m:t>
          </m:r>
          <m:sSup>
            <m:e>
              <m:r>
                <m:rPr>
                  <m:sty m:val="b"/>
                </m:rPr>
                <m:t>D</m:t>
              </m:r>
            </m:e>
            <m:sup>
              <m:r>
                <m:rPr>
                  <m:sty m:val="p"/>
                </m:rPr>
                <m:t>−</m:t>
              </m:r>
              <m:r>
                <m:t>1</m:t>
              </m:r>
            </m:sup>
          </m:sSup>
          <m:sSub>
            <m:e>
              <m:acc>
                <m:accPr>
                  <m:chr m:val="̂"/>
                </m:accPr>
                <m:e>
                  <m:r>
                    <m:rPr>
                      <m:sty m:val="b"/>
                    </m:rPr>
                    <m:t>R</m:t>
                  </m:r>
                </m:e>
              </m:acc>
            </m:e>
            <m:sub>
              <m:r>
                <m:t>x</m:t>
              </m:r>
            </m:sub>
          </m:sSub>
          <m:sSup>
            <m:e>
              <m:r>
                <m:rPr>
                  <m:sty m:val="b"/>
                </m:rPr>
                <m:t>D</m:t>
              </m:r>
            </m:e>
            <m:sup>
              <m:r>
                <m:rPr>
                  <m:sty m:val="p"/>
                </m:rPr>
                <m:t>−</m:t>
              </m:r>
              <m:r>
                <m:t>1</m:t>
              </m:r>
            </m:sup>
          </m:sSup>
          <m:r>
            <m:rPr>
              <m:sty m:val="p"/>
            </m:rPr>
            <m:t>.</m:t>
          </m:r>
        </m:oMath>
      </m:oMathPara>
    </w:p>
    <w:p>
      <w:pPr>
        <w:pStyle w:val="FirstParagraph"/>
      </w:pPr>
      <w:r>
        <w:rPr>
          <w:rFonts w:ascii="Times New Roman" w:hAnsi="Times New Roman" w:eastAsia="宋体"/>
          <w:color w:val="000000"/>
          <w:sz w:val="24"/>
        </w:rPr>
        <w:t xml:space="preserve">其元素可写为</w:t>
      </w:r>
    </w:p>
    <w:p>
      <w:pPr>
        <w:pStyle w:val="BodyText"/>
        <w:spacing w:before="120" w:after="120"/>
        <w:ind w:firstLine="0"/>
        <w:jc w:val="center"/>
      </w:pPr>
      <m:oMathPara>
        <m:oMathParaPr>
          <m:jc m:val="center"/>
        </m:oMathParaPr>
        <m:oMath>
          <m:sSub>
            <m:e>
              <m:r>
                <m:t>C</m:t>
              </m:r>
            </m:e>
            <m:sub>
              <m:r>
                <m:t>i</m:t>
              </m:r>
              <m:r>
                <m:t>j</m:t>
              </m:r>
            </m:sub>
          </m:sSub>
          <m:r>
            <m:rPr>
              <m:sty m:val="p"/>
            </m:rPr>
            <m:t>=</m:t>
          </m:r>
          <m:f>
            <m:fPr>
              <m:type m:val="bar"/>
            </m:fPr>
            <m:num>
              <m:sSub>
                <m:e>
                  <m:acc>
                    <m:accPr>
                      <m:chr m:val="̂"/>
                    </m:accPr>
                    <m:e>
                      <m:r>
                        <m:t>R</m:t>
                      </m:r>
                    </m:e>
                  </m:acc>
                </m:e>
                <m:sub>
                  <m:r>
                    <m:t>i</m:t>
                  </m:r>
                  <m:r>
                    <m:t>j</m:t>
                  </m:r>
                </m:sub>
              </m:sSub>
            </m:num>
            <m:den>
              <m:rad>
                <m:radPr>
                  <m:degHide m:val="on"/>
                </m:radPr>
                <m:deg/>
                <m:e>
                  <m:sSub>
                    <m:e>
                      <m:acc>
                        <m:accPr>
                          <m:chr m:val="̂"/>
                        </m:accPr>
                        <m:e>
                          <m:r>
                            <m:t>R</m:t>
                          </m:r>
                        </m:e>
                      </m:acc>
                    </m:e>
                    <m:sub>
                      <m:r>
                        <m:t>i</m:t>
                      </m:r>
                      <m:r>
                        <m:t>i</m:t>
                      </m:r>
                    </m:sub>
                  </m:sSub>
                  <m:sSub>
                    <m:e>
                      <m:acc>
                        <m:accPr>
                          <m:chr m:val="̂"/>
                        </m:accPr>
                        <m:e>
                          <m:r>
                            <m:t>R</m:t>
                          </m:r>
                        </m:e>
                      </m:acc>
                    </m:e>
                    <m:sub>
                      <m:r>
                        <m:t>j</m:t>
                      </m:r>
                      <m:r>
                        <m:t>j</m:t>
                      </m:r>
                    </m:sub>
                  </m:sSub>
                </m:e>
              </m:rad>
            </m:den>
          </m:f>
          <m:r>
            <m:rPr>
              <m:sty m:val="p"/>
            </m:rPr>
            <m:t>.</m:t>
          </m:r>
        </m:oMath>
      </m:oMathPara>
    </w:p>
    <w:p>
      <w:pPr>
        <w:pStyle w:val="FirstParagraph"/>
        <w:spacing w:before="120" w:after="120"/>
        <w:ind w:firstLine="0"/>
        <w:jc w:val="center"/>
      </w:pPr>
      <w:r>
        <w:t xml:space="preserve">归一化后有</w:t>
      </w:r>
      <w:r>
        <w:t xml:space="preserve"> </w:t>
      </w:r>
      <m:oMath>
        <m:sSub>
          <m:e>
            <m:r>
              <m:t>C</m:t>
            </m:r>
          </m:e>
          <m:sub>
            <m:r>
              <m:t>i</m:t>
            </m:r>
            <m:r>
              <m:t>i</m:t>
            </m:r>
          </m:sub>
        </m:sSub>
        <m:r>
          <m:rPr>
            <m:sty m:val="p"/>
          </m:rPr>
          <m:t>=</m:t>
        </m:r>
        <m:r>
          <m:t>1</m:t>
        </m:r>
      </m:oMath>
      <w:r>
        <w:t xml:space="preserve">。因此，该矩阵不再直接比较不同通道的绝对功率，而是描述各通道总功率中有多大比例可以由共同的相干成分解释。</w:t>
      </w:r>
    </w:p>
    <w:p>
      <w:pPr>
        <w:pStyle w:val="BodyText"/>
        <w:spacing w:before="120" w:after="120"/>
        <w:ind w:firstLine="0"/>
        <w:jc w:val="center"/>
      </w:pPr>
      <w:r>
        <w:t xml:space="preserve">在理想独立噪声条件下，</w:t>
      </w:r>
      <m:oMath>
        <m:sSub>
          <m:e>
            <m:acc>
              <m:accPr>
                <m:chr m:val="̂"/>
              </m:accPr>
              <m:e>
                <m:r>
                  <m:rPr>
                    <m:sty m:val="b"/>
                  </m:rPr>
                  <m:t>R</m:t>
                </m:r>
              </m:e>
            </m:acc>
          </m:e>
          <m:sub>
            <m:r>
              <m:t>x</m:t>
            </m:r>
          </m:sub>
        </m:sSub>
      </m:oMath>
      <w:r>
        <w:t xml:space="preserve"> </w:t>
      </w:r>
      <w:r>
        <w:t xml:space="preserve">近似为对角矩阵，即使不同通道噪声功率不同，经过归一化后仍有</w:t>
      </w:r>
    </w:p>
    <w:p>
      <w:pPr>
        <w:pStyle w:val="BodyText"/>
        <w:spacing w:before="120" w:after="120"/>
        <w:ind w:firstLine="0"/>
        <w:jc w:val="center"/>
      </w:pPr>
      <m:oMathPara>
        <m:oMathParaPr>
          <m:jc m:val="center"/>
        </m:oMathParaPr>
        <m:oMath>
          <m:r>
            <m:rPr>
              <m:sty m:val="b"/>
            </m:rPr>
            <m:t>C</m:t>
          </m:r>
          <m:r>
            <m:rPr>
              <m:sty m:val="p"/>
            </m:rPr>
            <m:t>≈</m:t>
          </m:r>
          <m:r>
            <m:rPr>
              <m:sty m:val="b"/>
            </m:rPr>
            <m:t>I</m:t>
          </m:r>
          <m:r>
            <m:rPr>
              <m:sty m:val="p"/>
            </m:rPr>
            <m:t>.</m:t>
          </m:r>
        </m:oMath>
      </m:oMathPara>
    </w:p>
    <w:p>
      <w:pPr>
        <w:pStyle w:val="FirstParagraph"/>
        <w:spacing w:before="120" w:after="120"/>
        <w:ind w:firstLine="0"/>
        <w:jc w:val="center"/>
      </w:pPr>
      <w:r>
        <w:t xml:space="preserve">此时各空间方向基本等价，不存在明显的主特征方向。相反，当一个强相干干扰同时进入多个通道时，</w:t>
      </w:r>
      <m:oMath>
        <m:r>
          <m:rPr>
            <m:sty m:val="b"/>
          </m:rPr>
          <m:t>C</m:t>
        </m:r>
      </m:oMath>
      <w:r>
        <w:t xml:space="preserve"> </w:t>
      </w:r>
      <w:r>
        <w:t xml:space="preserve">的非对角项会显著增大，并形成突出的主特征值。因此，归一化操作并不是“删除功率信息”，而是消除通道绝对功率尺度差异，使检测量更多反映共同相干成分占总输入功率的相对程度。</w:t>
      </w:r>
    </w:p>
    <w:bookmarkEnd w:id="23"/>
    <w:bookmarkStart w:id="24" w:name="基于特征值的干扰检测"/>
    <w:p>
      <w:pPr>
        <w:pStyle w:val="Heading2"/>
      </w:pPr>
      <w:r>
        <w:rPr>
          <w:rFonts w:ascii="Times New Roman" w:hAnsi="Times New Roman" w:eastAsia="宋体"/>
          <w:b/>
          <w:color w:val="000000"/>
          <w:sz w:val="28"/>
        </w:rPr>
        <w:t xml:space="preserve">基于特征值的干扰检测</w:t>
      </w:r>
    </w:p>
    <w:p>
      <w:pPr>
        <w:pStyle w:val="FirstParagraph"/>
      </w:pPr>
      <w:r>
        <w:rPr>
          <w:rFonts w:ascii="Times New Roman" w:hAnsi="Times New Roman" w:eastAsia="宋体"/>
          <w:color w:val="000000"/>
          <w:sz w:val="24"/>
        </w:rPr>
        <w:t xml:space="preserve">对归一化相关矩阵进行特征值分解</w:t>
      </w:r>
    </w:p>
    <w:p>
      <w:pPr>
        <w:pStyle w:val="BodyText"/>
        <w:spacing w:before="120" w:after="120"/>
        <w:ind w:firstLine="0"/>
        <w:jc w:val="center"/>
      </w:pPr>
      <m:oMathPara>
        <m:oMathParaPr>
          <m:jc m:val="center"/>
        </m:oMathParaPr>
        <m:oMath>
          <m:r>
            <m:rPr>
              <m:sty m:val="b"/>
            </m:rPr>
            <m:t>C</m:t>
          </m:r>
          <m:r>
            <m:rPr>
              <m:sty m:val="p"/>
            </m:rPr>
            <m:t>=</m:t>
          </m:r>
          <m:r>
            <m:rPr>
              <m:sty m:val="b"/>
            </m:rPr>
            <m:t>U</m:t>
          </m:r>
          <m:r>
            <m:rPr>
              <m:sty m:val="b"/>
            </m:rPr>
            <m:t>Λ</m:t>
          </m:r>
          <m:sSup>
            <m:e>
              <m:r>
                <m:rPr>
                  <m:sty m:val="b"/>
                </m:rPr>
                <m:t>U</m:t>
              </m:r>
            </m:e>
            <m:sup>
              <m:r>
                <m:t>H</m:t>
              </m:r>
            </m:sup>
          </m:sSup>
          <m:r>
            <m:rPr>
              <m:sty m:val="p"/>
            </m:rPr>
            <m:t>,</m:t>
          </m:r>
        </m:oMath>
      </m:oMathPara>
    </w:p>
    <w:p>
      <w:pPr>
        <w:pStyle w:val="FirstParagraph"/>
      </w:pPr>
      <w:r>
        <w:rPr>
          <w:rFonts w:ascii="Times New Roman" w:hAnsi="Times New Roman" w:eastAsia="宋体"/>
          <w:color w:val="000000"/>
          <w:sz w:val="24"/>
        </w:rPr>
        <w:t xml:space="preserve">其中</w:t>
      </w:r>
    </w:p>
    <w:p>
      <w:pPr>
        <w:pStyle w:val="BodyText"/>
        <w:spacing w:before="120" w:after="120"/>
        <w:ind w:firstLine="0"/>
        <w:jc w:val="center"/>
      </w:pPr>
      <m:oMathPara>
        <m:oMathParaPr>
          <m:jc m:val="center"/>
        </m:oMathParaPr>
        <m:oMath>
          <m:r>
            <m:rPr>
              <m:sty m:val="b"/>
            </m:rPr>
            <m:t>Λ</m:t>
          </m:r>
          <m:r>
            <m:rPr>
              <m:sty m:val="p"/>
            </m:rPr>
            <m:t>=</m:t>
          </m:r>
          <m:r>
            <m:rPr>
              <m:sty m:val="p"/>
            </m:rPr>
            <m:t>diag</m:t>
          </m:r>
          <m:d>
            <m:dPr>
              <m:begChr m:val="("/>
              <m:endChr m:val=")"/>
              <m:sepChr m:val=""/>
              <m:grow/>
            </m:dPr>
            <m:e>
              <m:sSub>
                <m:e>
                  <m:r>
                    <m:t>λ</m:t>
                  </m:r>
                </m:e>
                <m:sub>
                  <m:r>
                    <m:t>1</m:t>
                  </m:r>
                </m:sub>
              </m:sSub>
              <m:r>
                <m:rPr>
                  <m:sty m:val="p"/>
                </m:rPr>
                <m:t>,</m:t>
              </m:r>
              <m:sSub>
                <m:e>
                  <m:r>
                    <m:t>λ</m:t>
                  </m:r>
                </m:e>
                <m:sub>
                  <m:r>
                    <m:t>2</m:t>
                  </m:r>
                </m:sub>
              </m:sSub>
              <m:r>
                <m:rPr>
                  <m:sty m:val="p"/>
                </m:rPr>
                <m:t>,</m:t>
              </m:r>
              <m:r>
                <m:rPr>
                  <m:sty m:val="p"/>
                </m:rPr>
                <m:t>…</m:t>
              </m:r>
              <m:r>
                <m:rPr>
                  <m:sty m:val="p"/>
                </m:rPr>
                <m:t>,</m:t>
              </m:r>
              <m:sSub>
                <m:e>
                  <m:r>
                    <m:t>λ</m:t>
                  </m:r>
                </m:e>
                <m:sub>
                  <m:r>
                    <m:t>M</m:t>
                  </m:r>
                </m:sub>
              </m:sSub>
            </m:e>
          </m:d>
          <m:r>
            <m:rPr>
              <m:sty m:val="p"/>
            </m:rPr>
            <m:t>,</m:t>
          </m:r>
          <m:r>
            <m:t>  </m:t>
          </m:r>
          <m:sSub>
            <m:e>
              <m:r>
                <m:t>λ</m:t>
              </m:r>
            </m:e>
            <m:sub>
              <m:r>
                <m:t>1</m:t>
              </m:r>
            </m:sub>
          </m:sSub>
          <m:r>
            <m:rPr>
              <m:sty m:val="p"/>
            </m:rPr>
            <m:t>≤</m:t>
          </m:r>
          <m:sSub>
            <m:e>
              <m:r>
                <m:t>λ</m:t>
              </m:r>
            </m:e>
            <m:sub>
              <m:r>
                <m:t>2</m:t>
              </m:r>
            </m:sub>
          </m:sSub>
          <m:r>
            <m:rPr>
              <m:sty m:val="p"/>
            </m:rPr>
            <m:t>≤</m:t>
          </m:r>
          <m:r>
            <m:rPr>
              <m:sty m:val="p"/>
            </m:rPr>
            <m:t>⋯</m:t>
          </m:r>
          <m:r>
            <m:rPr>
              <m:sty m:val="p"/>
            </m:rPr>
            <m:t>≤</m:t>
          </m:r>
          <m:sSub>
            <m:e>
              <m:r>
                <m:t>λ</m:t>
              </m:r>
            </m:e>
            <m:sub>
              <m:r>
                <m:t>M</m:t>
              </m:r>
            </m:sub>
          </m:sSub>
          <m:r>
            <m:rPr>
              <m:sty m:val="p"/>
            </m:rPr>
            <m:t>.</m:t>
          </m:r>
        </m:oMath>
      </m:oMathPara>
    </w:p>
    <w:p>
      <w:pPr>
        <w:pStyle w:val="FirstParagraph"/>
      </w:pPr>
      <w:r>
        <w:rPr>
          <w:rFonts w:ascii="Times New Roman" w:hAnsi="Times New Roman" w:eastAsia="宋体"/>
          <w:color w:val="000000"/>
          <w:sz w:val="24"/>
        </w:rPr>
        <w:t xml:space="preserve">当不存在明显的相干干扰时，有</w:t>
      </w:r>
    </w:p>
    <w:p>
      <w:pPr>
        <w:pStyle w:val="BodyText"/>
        <w:spacing w:before="120" w:after="120"/>
        <w:ind w:firstLine="0"/>
        <w:jc w:val="center"/>
      </w:pPr>
      <m:oMathPara>
        <m:oMathParaPr>
          <m:jc m:val="center"/>
        </m:oMathParaPr>
        <m:oMath>
          <m:sSub>
            <m:e>
              <m:r>
                <m:t>λ</m:t>
              </m:r>
            </m:e>
            <m:sub>
              <m:r>
                <m:t>1</m:t>
              </m:r>
            </m:sub>
          </m:sSub>
          <m:r>
            <m:rPr>
              <m:sty m:val="p"/>
            </m:rPr>
            <m:t>≈</m:t>
          </m:r>
          <m:sSub>
            <m:e>
              <m:r>
                <m:t>λ</m:t>
              </m:r>
            </m:e>
            <m:sub>
              <m:r>
                <m:t>2</m:t>
              </m:r>
            </m:sub>
          </m:sSub>
          <m:r>
            <m:rPr>
              <m:sty m:val="p"/>
            </m:rPr>
            <m:t>≈</m:t>
          </m:r>
          <m:r>
            <m:rPr>
              <m:sty m:val="p"/>
            </m:rPr>
            <m:t>⋯</m:t>
          </m:r>
          <m:r>
            <m:rPr>
              <m:sty m:val="p"/>
            </m:rPr>
            <m:t>≈</m:t>
          </m:r>
          <m:sSub>
            <m:e>
              <m:r>
                <m:t>λ</m:t>
              </m:r>
            </m:e>
            <m:sub>
              <m:r>
                <m:t>M</m:t>
              </m:r>
            </m:sub>
          </m:sSub>
          <m:r>
            <m:rPr>
              <m:sty m:val="p"/>
            </m:rPr>
            <m:t>≈</m:t>
          </m:r>
          <m:r>
            <m:t>1</m:t>
          </m:r>
          <m:r>
            <m:rPr>
              <m:sty m:val="p"/>
            </m:rPr>
            <m:t>.</m:t>
          </m:r>
        </m:oMath>
      </m:oMathPara>
    </w:p>
    <w:p>
      <w:pPr>
        <w:pStyle w:val="FirstParagraph"/>
        <w:spacing w:before="120" w:after="120"/>
        <w:ind w:firstLine="0"/>
        <w:jc w:val="center"/>
      </w:pPr>
      <w:r>
        <w:t xml:space="preserve">若存在单个强主导干扰，则最大特征值</w:t>
      </w:r>
      <w:r>
        <w:t xml:space="preserve"> </w:t>
      </w:r>
      <m:oMath>
        <m:sSub>
          <m:e>
            <m:r>
              <m:t>λ</m:t>
            </m:r>
          </m:e>
          <m:sub>
            <m:r>
              <m:t>M</m:t>
            </m:r>
          </m:sub>
        </m:sSub>
      </m:oMath>
      <w:r>
        <w:t xml:space="preserve"> </w:t>
      </w:r>
      <w:r>
        <w:t xml:space="preserve">会显著高于其余特征值。由此可构造主特征值突出度作为干扰检测指标</w:t>
      </w:r>
    </w:p>
    <w:p>
      <w:pPr>
        <w:pStyle w:val="BodyText"/>
        <w:spacing w:before="120" w:after="120"/>
        <w:ind w:firstLine="0"/>
        <w:jc w:val="center"/>
      </w:pPr>
      <m:oMathPara>
        <m:oMathParaPr>
          <m:jc m:val="center"/>
        </m:oMathParaPr>
        <m:oMath>
          <m:sSub>
            <m:e>
              <m:r>
                <m:t>S</m:t>
              </m:r>
            </m:e>
            <m:sub>
              <m:r>
                <m:rPr>
                  <m:sty m:val="p"/>
                </m:rPr>
                <m:t>d</m:t>
              </m:r>
              <m:r>
                <m:rPr>
                  <m:sty m:val="p"/>
                </m:rPr>
                <m:t>e</m:t>
              </m:r>
              <m:r>
                <m:rPr>
                  <m:sty m:val="p"/>
                </m:rPr>
                <m:t>t</m:t>
              </m:r>
            </m:sub>
          </m:sSub>
          <m:r>
            <m:rPr>
              <m:sty m:val="p"/>
            </m:rPr>
            <m:t>=</m:t>
          </m:r>
          <m:r>
            <m:t>10</m:t>
          </m:r>
          <m:sSub>
            <m:e>
              <m:r>
                <m:rPr>
                  <m:sty m:val="p"/>
                </m:rPr>
                <m:t>log</m:t>
              </m:r>
            </m:e>
            <m:sub>
              <m:r>
                <m:t>10</m:t>
              </m:r>
            </m:sub>
          </m:sSub>
          <m:d>
            <m:dPr>
              <m:begChr m:val="("/>
              <m:endChr m:val=")"/>
              <m:sepChr m:val=""/>
              <m:grow/>
            </m:dPr>
            <m:e>
              <m:f>
                <m:fPr>
                  <m:type m:val="bar"/>
                </m:fPr>
                <m:num>
                  <m:sSub>
                    <m:e>
                      <m:r>
                        <m:t>λ</m:t>
                      </m:r>
                    </m:e>
                    <m:sub>
                      <m:r>
                        <m:t>M</m:t>
                      </m:r>
                    </m:sub>
                  </m:sSub>
                </m:num>
                <m:den>
                  <m:f>
                    <m:fPr>
                      <m:type m:val="bar"/>
                    </m:fPr>
                    <m:num>
                      <m:r>
                        <m:t>1</m:t>
                      </m:r>
                    </m:num>
                    <m:den>
                      <m:r>
                        <m:t>M</m:t>
                      </m:r>
                      <m:r>
                        <m:rPr>
                          <m:sty m:val="p"/>
                        </m:rPr>
                        <m:t>−</m:t>
                      </m:r>
                      <m:r>
                        <m:t>1</m:t>
                      </m:r>
                    </m:den>
                  </m:f>
                  <m:nary>
                    <m:naryPr>
                      <m:chr m:val="∑"/>
                      <m:limLoc m:val="undOvr"/>
                      <m:subHide m:val="off"/>
                      <m:supHide m:val="off"/>
                    </m:naryPr>
                    <m:sub>
                      <m:r>
                        <m:t>i</m:t>
                      </m:r>
                      <m:r>
                        <m:rPr>
                          <m:sty m:val="p"/>
                        </m:rPr>
                        <m:t>=</m:t>
                      </m:r>
                      <m:r>
                        <m:t>1</m:t>
                      </m:r>
                    </m:sub>
                    <m:sup>
                      <m:r>
                        <m:t>M</m:t>
                      </m:r>
                      <m:r>
                        <m:rPr>
                          <m:sty m:val="p"/>
                        </m:rPr>
                        <m:t>−</m:t>
                      </m:r>
                      <m:r>
                        <m:t>1</m:t>
                      </m:r>
                    </m:sup>
                    <m:e>
                      <m:sSub>
                        <m:e>
                          <m:r>
                            <m:t>λ</m:t>
                          </m:r>
                        </m:e>
                        <m:sub>
                          <m:r>
                            <m:t>i</m:t>
                          </m:r>
                        </m:sub>
                      </m:sSub>
                    </m:e>
                  </m:nary>
                </m:den>
              </m:f>
            </m:e>
          </m:d>
          <m:r>
            <m:rPr>
              <m:sty m:val="p"/>
            </m:rPr>
            <m:t>.</m:t>
          </m:r>
        </m:oMath>
      </m:oMathPara>
    </w:p>
    <w:p>
      <w:pPr>
        <w:pStyle w:val="FirstParagraph"/>
        <w:spacing w:before="120" w:after="120"/>
        <w:ind w:firstLine="0"/>
        <w:jc w:val="center"/>
      </w:pPr>
      <w:r>
        <w:t xml:space="preserve">当</w:t>
      </w:r>
      <w:r>
        <w:t xml:space="preserve"> </w:t>
      </w:r>
      <m:oMath>
        <m:sSub>
          <m:e>
            <m:r>
              <m:t>S</m:t>
            </m:r>
          </m:e>
          <m:sub>
            <m:r>
              <m:rPr>
                <m:sty m:val="p"/>
              </m:rPr>
              <m:t>d</m:t>
            </m:r>
            <m:r>
              <m:rPr>
                <m:sty m:val="p"/>
              </m:rPr>
              <m:t>e</m:t>
            </m:r>
            <m:r>
              <m:rPr>
                <m:sty m:val="p"/>
              </m:rPr>
              <m:t>t</m:t>
            </m:r>
          </m:sub>
        </m:sSub>
      </m:oMath>
      <w:r>
        <w:t xml:space="preserve"> </w:t>
      </w:r>
      <w:r>
        <w:t xml:space="preserve">高于设定阈值</w:t>
      </w:r>
      <w:r>
        <w:t xml:space="preserve"> </w:t>
      </w:r>
      <m:oMath>
        <m:sSub>
          <m:e>
            <m:r>
              <m:t>T</m:t>
            </m:r>
          </m:e>
          <m:sub>
            <m:r>
              <m:rPr>
                <m:sty m:val="p"/>
              </m:rPr>
              <m:t>d</m:t>
            </m:r>
            <m:r>
              <m:rPr>
                <m:sty m:val="p"/>
              </m:rPr>
              <m:t>e</m:t>
            </m:r>
            <m:r>
              <m:rPr>
                <m:sty m:val="p"/>
              </m:rPr>
              <m:t>t</m:t>
            </m:r>
          </m:sub>
        </m:sSub>
      </m:oMath>
      <w:r>
        <w:t xml:space="preserve"> </w:t>
      </w:r>
      <w:r>
        <w:t xml:space="preserve">时，可认为当前多通道数据中存在显著的主相干空间模态，并启用零陷处理；否则保持参考通道直接输出，以避免在无干扰条件下将有限样本造成的随机特征方向误认为真实干扰方向。</w:t>
      </w:r>
    </w:p>
    <w:p>
      <w:pPr>
        <w:pStyle w:val="BodyText"/>
      </w:pPr>
      <w:r>
        <w:rPr>
          <w:rFonts w:ascii="Times New Roman" w:hAnsi="Times New Roman" w:eastAsia="宋体"/>
          <w:color w:val="000000"/>
          <w:sz w:val="24"/>
        </w:rPr>
        <w:t xml:space="preserve">对于双通道系统，归一化相关矩阵可以表示为</w:t>
      </w:r>
    </w:p>
    <w:p>
      <w:pPr>
        <w:pStyle w:val="BodyText"/>
        <w:spacing w:before="120" w:after="120"/>
        <w:ind w:firstLine="0"/>
        <w:jc w:val="center"/>
      </w:pPr>
      <m:oMathPara>
        <m:oMathParaPr>
          <m:jc m:val="center"/>
        </m:oMathParaPr>
        <m:oMath>
          <m:r>
            <m:rPr>
              <m:sty m:val="b"/>
            </m:rPr>
            <m:t>C</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ρ</m:t>
                    </m:r>
                  </m:e>
                </m:mr>
                <m:mr>
                  <m:e>
                    <m:bar>
                      <m:barPr>
                        <m:pos m:val="top"/>
                      </m:barPr>
                      <m:e>
                        <m:r>
                          <m:t>ρ</m:t>
                        </m:r>
                      </m:e>
                    </m:bar>
                  </m:e>
                  <m:e>
                    <m:r>
                      <m:t>1</m:t>
                    </m:r>
                  </m:e>
                </m:mr>
              </m:m>
            </m:e>
          </m:d>
          <m:r>
            <m:rPr>
              <m:sty m:val="p"/>
            </m:rPr>
            <m:t>,</m:t>
          </m:r>
        </m:oMath>
      </m:oMathPara>
    </w:p>
    <w:p>
      <w:pPr>
        <w:pStyle w:val="FirstParagraph"/>
      </w:pPr>
      <w:r>
        <w:rPr>
          <w:rFonts w:ascii="Times New Roman" w:hAnsi="Times New Roman" w:eastAsia="宋体"/>
          <w:color w:val="000000"/>
          <w:sz w:val="24"/>
        </w:rPr>
        <w:t xml:space="preserve">其两个特征值为</w:t>
      </w:r>
    </w:p>
    <w:p>
      <w:pPr>
        <w:pStyle w:val="BodyText"/>
        <w:spacing w:before="120" w:after="120"/>
        <w:ind w:firstLine="0"/>
        <w:jc w:val="center"/>
      </w:pPr>
      <m:oMathPara>
        <m:oMathParaPr>
          <m:jc m:val="center"/>
        </m:oMathParaPr>
        <m:oMath>
          <m:sSub>
            <m:e>
              <m:r>
                <m:t>λ</m:t>
              </m:r>
            </m:e>
            <m:sub>
              <m:r>
                <m:rPr>
                  <m:sty m:val="p"/>
                </m:rPr>
                <m:t>max</m:t>
              </m:r>
            </m:sub>
          </m:sSub>
          <m:r>
            <m:rPr>
              <m:sty m:val="p"/>
            </m:rPr>
            <m:t>=</m:t>
          </m:r>
          <m:r>
            <m:t>1</m:t>
          </m:r>
          <m:r>
            <m:rPr>
              <m:sty m:val="p"/>
            </m:rPr>
            <m:t>+</m:t>
          </m:r>
          <m:d>
            <m:dPr>
              <m:begChr m:val="|"/>
              <m:endChr m:val="|"/>
              <m:sepChr m:val=""/>
              <m:grow/>
            </m:dPr>
            <m:e>
              <m:r>
                <m:t>ρ</m:t>
              </m:r>
            </m:e>
          </m:d>
          <m:r>
            <m:rPr>
              <m:sty m:val="p"/>
            </m:rPr>
            <m:t>,</m:t>
          </m:r>
          <m:r>
            <m:t>  </m:t>
          </m:r>
          <m:sSub>
            <m:e>
              <m:r>
                <m:t>λ</m:t>
              </m:r>
            </m:e>
            <m:sub>
              <m:r>
                <m:rPr>
                  <m:sty m:val="p"/>
                </m:rPr>
                <m:t>min</m:t>
              </m:r>
            </m:sub>
          </m:sSub>
          <m:r>
            <m:rPr>
              <m:sty m:val="p"/>
            </m:rPr>
            <m:t>=</m:t>
          </m:r>
          <m:r>
            <m:t>1</m:t>
          </m:r>
          <m:r>
            <m:rPr>
              <m:sty m:val="p"/>
            </m:rPr>
            <m:t>−</m:t>
          </m:r>
          <m:d>
            <m:dPr>
              <m:begChr m:val="|"/>
              <m:endChr m:val="|"/>
              <m:sepChr m:val=""/>
              <m:grow/>
            </m:dPr>
            <m:e>
              <m:r>
                <m:t>ρ</m:t>
              </m:r>
            </m:e>
          </m:d>
          <m:r>
            <m:rPr>
              <m:sty m:val="p"/>
            </m:rPr>
            <m:t>.</m:t>
          </m:r>
        </m:oMath>
      </m:oMathPara>
    </w:p>
    <w:p>
      <w:pPr>
        <w:pStyle w:val="FirstParagraph"/>
      </w:pPr>
      <w:r>
        <w:rPr>
          <w:rFonts w:ascii="Times New Roman" w:hAnsi="Times New Roman" w:eastAsia="宋体"/>
          <w:color w:val="000000"/>
          <w:sz w:val="24"/>
        </w:rPr>
        <w:t xml:space="preserve">因此双通道检测指标可写为</w:t>
      </w:r>
    </w:p>
    <w:p>
      <w:pPr>
        <w:pStyle w:val="BodyText"/>
        <w:spacing w:before="120" w:after="120"/>
        <w:ind w:firstLine="0"/>
        <w:jc w:val="center"/>
      </w:pPr>
      <m:oMathPara>
        <m:oMathParaPr>
          <m:jc m:val="center"/>
        </m:oMathParaPr>
        <m:oMath>
          <m:sSub>
            <m:e>
              <m:r>
                <m:t>S</m:t>
              </m:r>
            </m:e>
            <m:sub>
              <m:r>
                <m:rPr>
                  <m:sty m:val="p"/>
                </m:rPr>
                <m:t>d</m:t>
              </m:r>
              <m:r>
                <m:rPr>
                  <m:sty m:val="p"/>
                </m:rPr>
                <m:t>e</m:t>
              </m:r>
              <m:r>
                <m:rPr>
                  <m:sty m:val="p"/>
                </m:rPr>
                <m:t>t</m:t>
              </m:r>
            </m:sub>
          </m:sSub>
          <m:r>
            <m:rPr>
              <m:sty m:val="p"/>
            </m:rPr>
            <m:t>=</m:t>
          </m:r>
          <m:r>
            <m:t>10</m:t>
          </m:r>
          <m:sSub>
            <m:e>
              <m:r>
                <m:rPr>
                  <m:sty m:val="p"/>
                </m:rPr>
                <m:t>log</m:t>
              </m:r>
            </m:e>
            <m:sub>
              <m:r>
                <m:t>10</m:t>
              </m:r>
            </m:sub>
          </m:sSub>
          <m:d>
            <m:dPr>
              <m:begChr m:val="("/>
              <m:endChr m:val=")"/>
              <m:sepChr m:val=""/>
              <m:grow/>
            </m:dPr>
            <m:e>
              <m:f>
                <m:fPr>
                  <m:type m:val="bar"/>
                </m:fPr>
                <m:num>
                  <m:r>
                    <m:t>1</m:t>
                  </m:r>
                  <m:r>
                    <m:rPr>
                      <m:sty m:val="p"/>
                    </m:rPr>
                    <m:t>+</m:t>
                  </m:r>
                  <m:d>
                    <m:dPr>
                      <m:begChr m:val="|"/>
                      <m:endChr m:val="|"/>
                      <m:sepChr m:val=""/>
                      <m:grow/>
                    </m:dPr>
                    <m:e>
                      <m:r>
                        <m:t>ρ</m:t>
                      </m:r>
                    </m:e>
                  </m:d>
                </m:num>
                <m:den>
                  <m:r>
                    <m:t>1</m:t>
                  </m:r>
                  <m:r>
                    <m:rPr>
                      <m:sty m:val="p"/>
                    </m:rPr>
                    <m:t>−</m:t>
                  </m:r>
                  <m:d>
                    <m:dPr>
                      <m:begChr m:val="|"/>
                      <m:endChr m:val="|"/>
                      <m:sepChr m:val=""/>
                      <m:grow/>
                    </m:dPr>
                    <m:e>
                      <m:r>
                        <m:t>ρ</m:t>
                      </m:r>
                    </m:e>
                  </m:d>
                </m:den>
              </m:f>
            </m:e>
          </m:d>
          <m:r>
            <m:rPr>
              <m:sty m:val="p"/>
            </m:rPr>
            <m:t>.</m:t>
          </m:r>
        </m:oMath>
      </m:oMathPara>
    </w:p>
    <w:p>
      <w:pPr>
        <w:pStyle w:val="FirstParagraph"/>
      </w:pPr>
      <w:r>
        <w:rPr>
          <w:rFonts w:ascii="Times New Roman" w:hAnsi="Times New Roman" w:eastAsia="宋体"/>
          <w:color w:val="000000"/>
          <w:sz w:val="24"/>
        </w:rPr>
        <w:t xml:space="preserve">该表达式直观说明：两个通道之间的相干程度越高，最大特征值与次特征值之间的差异越大，干扰检测分数越高。</w:t>
      </w:r>
    </w:p>
    <w:bookmarkEnd w:id="24"/>
    <w:bookmarkStart w:id="25" w:name="干扰空间向量估计"/>
    <w:p>
      <w:pPr>
        <w:pStyle w:val="Heading2"/>
      </w:pPr>
      <w:r>
        <w:rPr>
          <w:rFonts w:ascii="Times New Roman" w:hAnsi="Times New Roman" w:eastAsia="宋体"/>
          <w:b/>
          <w:color w:val="000000"/>
          <w:sz w:val="28"/>
        </w:rPr>
        <w:t xml:space="preserve">干扰空间向量估计</w:t>
      </w:r>
    </w:p>
    <w:p>
      <w:pPr>
        <w:pStyle w:val="FirstParagraph"/>
        <w:spacing w:before="120" w:after="120"/>
        <w:ind w:firstLine="0"/>
        <w:jc w:val="center"/>
      </w:pPr>
      <w:r>
        <w:t xml:space="preserve">设</w:t>
      </w:r>
      <w:r>
        <w:t xml:space="preserve"> </w:t>
      </w:r>
      <m:oMath>
        <m:sSub>
          <m:e>
            <m:r>
              <m:rPr>
                <m:sty m:val="b"/>
              </m:rPr>
              <m:t>u</m:t>
            </m:r>
          </m:e>
          <m:sub>
            <m:r>
              <m:rPr>
                <m:sty m:val="p"/>
              </m:rPr>
              <m:t>max</m:t>
            </m:r>
          </m:sub>
        </m:sSub>
      </m:oMath>
      <w:r>
        <w:t xml:space="preserve"> </w:t>
      </w:r>
      <w:r>
        <w:t xml:space="preserve">为归一化相关矩阵最大特征值对应的单位特征向量。由于前述归一化过程消除了不同通道的幅度尺度，</w:t>
      </w:r>
      <m:oMath>
        <m:sSub>
          <m:e>
            <m:r>
              <m:rPr>
                <m:sty m:val="b"/>
              </m:rPr>
              <m:t>u</m:t>
            </m:r>
          </m:e>
          <m:sub>
            <m:r>
              <m:rPr>
                <m:sty m:val="p"/>
              </m:rPr>
              <m:t>max</m:t>
            </m:r>
          </m:sub>
        </m:sSub>
      </m:oMath>
      <w:r>
        <w:t xml:space="preserve"> </w:t>
      </w:r>
      <w:r>
        <w:t xml:space="preserve">主要反映主相干分量在各通道之间的相对相位关系。为了恢复实际多通道数据中的幅相关系，需要将通道尺度重新引入，即</w:t>
      </w:r>
    </w:p>
    <w:p>
      <w:pPr>
        <w:pStyle w:val="BodyText"/>
        <w:spacing w:before="120" w:after="120"/>
        <w:ind w:firstLine="0"/>
        <w:jc w:val="center"/>
      </w:pPr>
      <m:oMathPara>
        <m:oMathParaPr>
          <m:jc m:val="center"/>
        </m:oMathParaPr>
        <m:oMath>
          <m:sSub>
            <m:e>
              <m:acc>
                <m:accPr>
                  <m:chr m:val="̃"/>
                </m:accPr>
                <m:e>
                  <m:r>
                    <m:rPr>
                      <m:sty m:val="b"/>
                    </m:rPr>
                    <m:t>a</m:t>
                  </m:r>
                </m:e>
              </m:acc>
            </m:e>
            <m:sub>
              <m:r>
                <m:t>J</m:t>
              </m:r>
            </m:sub>
          </m:sSub>
          <m:r>
            <m:rPr>
              <m:sty m:val="p"/>
            </m:rPr>
            <m:t>=</m:t>
          </m:r>
          <m:r>
            <m:rPr>
              <m:sty m:val="b"/>
            </m:rPr>
            <m:t>D</m:t>
          </m:r>
          <m:sSub>
            <m:e>
              <m:r>
                <m:rPr>
                  <m:sty m:val="b"/>
                </m:rPr>
                <m:t>u</m:t>
              </m:r>
            </m:e>
            <m:sub>
              <m:r>
                <m:rPr>
                  <m:sty m:val="p"/>
                </m:rPr>
                <m:t>max</m:t>
              </m:r>
            </m:sub>
          </m:sSub>
          <m:r>
            <m:rPr>
              <m:sty m:val="p"/>
            </m:rPr>
            <m:t>.</m:t>
          </m:r>
        </m:oMath>
      </m:oMathPara>
    </w:p>
    <w:p>
      <w:pPr>
        <w:pStyle w:val="FirstParagraph"/>
      </w:pPr>
      <w:r>
        <w:rPr>
          <w:rFonts w:ascii="Times New Roman" w:hAnsi="Times New Roman" w:eastAsia="宋体"/>
          <w:color w:val="000000"/>
          <w:sz w:val="24"/>
        </w:rPr>
        <w:t xml:space="preserve">随后将其单位化，得到估计干扰空间向量</w:t>
      </w:r>
    </w:p>
    <w:p>
      <w:pPr>
        <w:pStyle w:val="BodyText"/>
        <w:spacing w:before="120" w:after="120"/>
        <w:ind w:firstLine="0"/>
        <w:jc w:val="center"/>
      </w:pPr>
      <m:oMathPara>
        <m:oMathParaPr>
          <m:jc m:val="center"/>
        </m:oMathParaPr>
        <m:oMath>
          <m:sSub>
            <m:e>
              <m:r>
                <m:rPr>
                  <m:sty m:val="b"/>
                </m:rPr>
                <m:t>v</m:t>
              </m:r>
            </m:e>
            <m:sub>
              <m:r>
                <m:t>J</m:t>
              </m:r>
            </m:sub>
          </m:sSub>
          <m:r>
            <m:rPr>
              <m:sty m:val="p"/>
            </m:rPr>
            <m:t>=</m:t>
          </m:r>
          <m:f>
            <m:fPr>
              <m:type m:val="bar"/>
            </m:fPr>
            <m:num>
              <m:sSub>
                <m:e>
                  <m:acc>
                    <m:accPr>
                      <m:chr m:val="̃"/>
                    </m:accPr>
                    <m:e>
                      <m:r>
                        <m:rPr>
                          <m:sty m:val="b"/>
                        </m:rPr>
                        <m:t>a</m:t>
                      </m:r>
                    </m:e>
                  </m:acc>
                </m:e>
                <m:sub>
                  <m:r>
                    <m:t>J</m:t>
                  </m:r>
                </m:sub>
              </m:sSub>
            </m:num>
            <m:den>
              <m:r>
                <m:rPr>
                  <m:sty m:val="p"/>
                </m:rPr>
                <m:t>∥</m:t>
              </m:r>
              <m:sSub>
                <m:e>
                  <m:acc>
                    <m:accPr>
                      <m:chr m:val="̃"/>
                    </m:accPr>
                    <m:e>
                      <m:r>
                        <m:rPr>
                          <m:sty m:val="b"/>
                        </m:rPr>
                        <m:t>a</m:t>
                      </m:r>
                    </m:e>
                  </m:acc>
                </m:e>
                <m:sub>
                  <m:r>
                    <m:t>J</m:t>
                  </m:r>
                </m:sub>
              </m:sSub>
              <m:sSub>
                <m:e>
                  <m:r>
                    <m:rPr>
                      <m:sty m:val="p"/>
                    </m:rPr>
                    <m:t>∥</m:t>
                  </m:r>
                </m:e>
                <m:sub>
                  <m:r>
                    <m:t>2</m:t>
                  </m:r>
                </m:sub>
              </m:sSub>
            </m:den>
          </m:f>
          <m:r>
            <m:rPr>
              <m:sty m:val="p"/>
            </m:rPr>
            <m:t>.</m:t>
          </m:r>
        </m:oMath>
      </m:oMathPara>
    </w:p>
    <w:p>
      <w:pPr>
        <w:pStyle w:val="FirstParagraph"/>
      </w:pPr>
      <w:r>
        <w:rPr>
          <w:rFonts w:ascii="Times New Roman" w:hAnsi="Times New Roman" w:eastAsia="宋体"/>
          <w:color w:val="000000"/>
          <w:sz w:val="24"/>
        </w:rPr>
        <w:t xml:space="preserve">在单个强干扰占主导且噪声相对较弱的情况下，有</w:t>
      </w:r>
    </w:p>
    <w:p>
      <w:pPr>
        <w:pStyle w:val="BodyText"/>
        <w:spacing w:before="120" w:after="120"/>
        <w:ind w:firstLine="0"/>
        <w:jc w:val="center"/>
      </w:pPr>
      <m:oMathPara>
        <m:oMathParaPr>
          <m:jc m:val="center"/>
        </m:oMathParaPr>
        <m:oMath>
          <m:sSub>
            <m:e>
              <m:r>
                <m:rPr>
                  <m:sty m:val="b"/>
                </m:rPr>
                <m:t>v</m:t>
              </m:r>
            </m:e>
            <m:sub>
              <m:r>
                <m:t>J</m:t>
              </m:r>
            </m:sub>
          </m:sSub>
          <m:r>
            <m:rPr>
              <m:sty m:val="p"/>
            </m:rPr>
            <m:t>≈</m:t>
          </m:r>
          <m:f>
            <m:fPr>
              <m:type m:val="bar"/>
            </m:fPr>
            <m:num>
              <m:sSub>
                <m:e>
                  <m:r>
                    <m:rPr>
                      <m:sty m:val="b"/>
                    </m:rPr>
                    <m:t>a</m:t>
                  </m:r>
                </m:e>
                <m:sub>
                  <m:r>
                    <m:t>J</m:t>
                  </m:r>
                </m:sub>
              </m:sSub>
            </m:num>
            <m:den>
              <m:r>
                <m:rPr>
                  <m:sty m:val="p"/>
                </m:rPr>
                <m:t>∥</m:t>
              </m:r>
              <m:sSub>
                <m:e>
                  <m:r>
                    <m:rPr>
                      <m:sty m:val="b"/>
                    </m:rPr>
                    <m:t>a</m:t>
                  </m:r>
                </m:e>
                <m:sub>
                  <m:r>
                    <m:t>J</m:t>
                  </m:r>
                </m:sub>
              </m:sSub>
              <m:sSub>
                <m:e>
                  <m:r>
                    <m:rPr>
                      <m:sty m:val="p"/>
                    </m:rPr>
                    <m:t>∥</m:t>
                  </m:r>
                </m:e>
                <m:sub>
                  <m:r>
                    <m:t>2</m:t>
                  </m:r>
                </m:sub>
              </m:sSub>
            </m:den>
          </m:f>
          <m:r>
            <m:rPr>
              <m:sty m:val="p"/>
            </m:rPr>
            <m:t>,</m:t>
          </m:r>
        </m:oMath>
      </m:oMathPara>
    </w:p>
    <w:p>
      <w:pPr>
        <w:pStyle w:val="FirstParagraph"/>
        <w:spacing w:before="120" w:after="120"/>
        <w:ind w:firstLine="0"/>
        <w:jc w:val="center"/>
      </w:pPr>
      <w:r>
        <w:t xml:space="preserve">两者可能相差一个任意的公共复相位，但该公共相位不会影响后续构造的投影矩阵。若令</w:t>
      </w:r>
      <w:r>
        <w:t xml:space="preserve"> </w:t>
      </w:r>
      <m:oMath>
        <m:r>
          <m:rPr>
            <m:sty m:val="b"/>
          </m:rPr>
          <m:t>v</m:t>
        </m:r>
        <m:sSub>
          <m:e>
            <m:r>
              <m:rPr>
                <m:sty m:val="p"/>
              </m:rPr>
              <m:t>′</m:t>
            </m:r>
          </m:e>
          <m:sub>
            <m:r>
              <m:t>J</m:t>
            </m:r>
          </m:sub>
        </m:sSub>
        <m:r>
          <m:rPr>
            <m:sty m:val="p"/>
          </m:rPr>
          <m:t>=</m:t>
        </m:r>
        <m:sSup>
          <m:e>
            <m:r>
              <m:t>e</m:t>
            </m:r>
          </m:e>
          <m:sup>
            <m:r>
              <m:t>j</m:t>
            </m:r>
            <m:r>
              <m:t>φ</m:t>
            </m:r>
          </m:sup>
        </m:sSup>
        <m:sSub>
          <m:e>
            <m:r>
              <m:rPr>
                <m:sty m:val="b"/>
              </m:rPr>
              <m:t>v</m:t>
            </m:r>
          </m:e>
          <m:sub>
            <m:r>
              <m:t>J</m:t>
            </m:r>
          </m:sub>
        </m:sSub>
      </m:oMath>
      <w:r>
        <w:t xml:space="preserve">，则仍有</w:t>
      </w:r>
    </w:p>
    <w:p>
      <w:pPr>
        <w:pStyle w:val="BodyText"/>
        <w:spacing w:before="120" w:after="120"/>
        <w:ind w:firstLine="0"/>
        <w:jc w:val="center"/>
      </w:pPr>
      <m:oMathPara>
        <m:oMathParaPr>
          <m:jc m:val="center"/>
        </m:oMathParaPr>
        <m:oMath>
          <m:r>
            <m:rPr>
              <m:sty m:val="b"/>
            </m:rPr>
            <m:t>v</m:t>
          </m:r>
          <m:sSub>
            <m:e>
              <m:r>
                <m:rPr>
                  <m:sty m:val="p"/>
                </m:rPr>
                <m:t>′</m:t>
              </m:r>
            </m:e>
            <m:sub>
              <m:r>
                <m:t>J</m:t>
              </m:r>
            </m:sub>
          </m:sSub>
          <m:r>
            <m:rPr>
              <m:sty m:val="b"/>
            </m:rPr>
            <m:t>v</m:t>
          </m:r>
          <m:sSubSup>
            <m:e>
              <m:r>
                <m:rPr>
                  <m:sty m:val="p"/>
                </m:rPr>
                <m:t>′</m:t>
              </m:r>
            </m:e>
            <m:sub>
              <m:r>
                <m:t>J</m:t>
              </m:r>
            </m:sub>
            <m:sup>
              <m:r>
                <m:t>H</m:t>
              </m:r>
            </m:sup>
          </m:sSubSup>
          <m:r>
            <m:rPr>
              <m:sty m:val="p"/>
            </m:rPr>
            <m:t>=</m:t>
          </m:r>
          <m:sSub>
            <m:e>
              <m:r>
                <m:rPr>
                  <m:sty m:val="b"/>
                </m:rPr>
                <m:t>v</m:t>
              </m:r>
            </m:e>
            <m:sub>
              <m:r>
                <m:t>J</m:t>
              </m:r>
            </m:sub>
          </m:sSub>
          <m:sSubSup>
            <m:e>
              <m:r>
                <m:rPr>
                  <m:sty m:val="b"/>
                </m:rPr>
                <m:t>v</m:t>
              </m:r>
            </m:e>
            <m:sub>
              <m:r>
                <m:t>J</m:t>
              </m:r>
            </m:sub>
            <m:sup>
              <m:r>
                <m:t>H</m:t>
              </m:r>
            </m:sup>
          </m:sSubSup>
          <m:r>
            <m:rPr>
              <m:sty m:val="p"/>
            </m:rPr>
            <m:t>.</m:t>
          </m:r>
        </m:oMath>
      </m:oMathPara>
    </w:p>
    <w:p>
      <w:pPr>
        <w:pStyle w:val="FirstParagraph"/>
      </w:pPr>
      <w:r>
        <w:rPr>
          <w:rFonts w:ascii="Times New Roman" w:hAnsi="Times New Roman" w:eastAsia="宋体"/>
          <w:color w:val="000000"/>
          <w:sz w:val="24"/>
        </w:rPr>
        <w:t xml:space="preserve">因此，Blind Nulling真正关心的是干扰向量所张成的一维子空间，而不是特征向量的绝对公共相位。</w:t>
      </w:r>
    </w:p>
    <w:bookmarkEnd w:id="25"/>
    <w:bookmarkStart w:id="26" w:name="正交投影与零陷权值构造"/>
    <w:p>
      <w:pPr>
        <w:pStyle w:val="Heading2"/>
      </w:pPr>
      <w:r>
        <w:rPr>
          <w:rFonts w:ascii="Times New Roman" w:hAnsi="Times New Roman" w:eastAsia="宋体"/>
          <w:b/>
          <w:color w:val="000000"/>
          <w:sz w:val="28"/>
        </w:rPr>
        <w:t xml:space="preserve">正交投影与零陷权值构造</w:t>
      </w:r>
    </w:p>
    <w:p>
      <w:pPr>
        <w:pStyle w:val="FirstParagraph"/>
        <w:spacing w:before="120" w:after="120"/>
        <w:ind w:firstLine="0"/>
        <w:jc w:val="center"/>
      </w:pPr>
      <w:r>
        <w:t xml:space="preserve">当</w:t>
      </w:r>
      <w:r>
        <w:t xml:space="preserve"> </w:t>
      </w:r>
      <m:oMath>
        <m:sSub>
          <m:e>
            <m:r>
              <m:rPr>
                <m:sty m:val="b"/>
              </m:rPr>
              <m:t>v</m:t>
            </m:r>
          </m:e>
          <m:sub>
            <m:r>
              <m:t>J</m:t>
            </m:r>
          </m:sub>
        </m:sSub>
      </m:oMath>
      <w:r>
        <w:t xml:space="preserve"> </w:t>
      </w:r>
      <w:r>
        <w:t xml:space="preserve">已归一化为单位向量时，投影到干扰子空间的正交投影矩阵为</w:t>
      </w:r>
    </w:p>
    <w:p>
      <w:pPr>
        <w:pStyle w:val="BodyText"/>
        <w:spacing w:before="120" w:after="120"/>
        <w:ind w:firstLine="0"/>
        <w:jc w:val="center"/>
      </w:pPr>
      <m:oMathPara>
        <m:oMathParaPr>
          <m:jc m:val="center"/>
        </m:oMathParaPr>
        <m:oMath>
          <m:sSub>
            <m:e>
              <m:r>
                <m:rPr>
                  <m:sty m:val="b"/>
                </m:rPr>
                <m:t>P</m:t>
              </m:r>
            </m:e>
            <m:sub>
              <m:r>
                <m:t>J</m:t>
              </m:r>
            </m:sub>
          </m:sSub>
          <m:r>
            <m:rPr>
              <m:sty m:val="p"/>
            </m:rPr>
            <m:t>=</m:t>
          </m:r>
          <m:sSub>
            <m:e>
              <m:r>
                <m:rPr>
                  <m:sty m:val="b"/>
                </m:rPr>
                <m:t>v</m:t>
              </m:r>
            </m:e>
            <m:sub>
              <m:r>
                <m:t>J</m:t>
              </m:r>
            </m:sub>
          </m:sSub>
          <m:sSubSup>
            <m:e>
              <m:r>
                <m:rPr>
                  <m:sty m:val="b"/>
                </m:rPr>
                <m:t>v</m:t>
              </m:r>
            </m:e>
            <m:sub>
              <m:r>
                <m:t>J</m:t>
              </m:r>
            </m:sub>
            <m:sup>
              <m:r>
                <m:t>H</m:t>
              </m:r>
            </m:sup>
          </m:sSubSup>
          <m:r>
            <m:rPr>
              <m:sty m:val="p"/>
            </m:rPr>
            <m:t>.</m:t>
          </m:r>
        </m:oMath>
      </m:oMathPara>
    </w:p>
    <w:p>
      <w:pPr>
        <w:pStyle w:val="FirstParagraph"/>
      </w:pPr>
      <w:r>
        <w:rPr>
          <w:rFonts w:ascii="Times New Roman" w:hAnsi="Times New Roman" w:eastAsia="宋体"/>
          <w:color w:val="000000"/>
          <w:sz w:val="24"/>
        </w:rPr>
        <w:t xml:space="preserve">相应地，投影到干扰子空间正交补空间的矩阵为</w:t>
      </w:r>
    </w:p>
    <w:p>
      <w:pPr>
        <w:pStyle w:val="BodyText"/>
        <w:spacing w:before="120" w:after="120"/>
        <w:ind w:firstLine="0"/>
        <w:jc w:val="center"/>
      </w:pPr>
      <m:oMathPara>
        <m:oMathParaPr>
          <m:jc m:val="center"/>
        </m:oMathParaPr>
        <m:oMath>
          <m:sSub>
            <m:e>
              <m:r>
                <m:rPr>
                  <m:sty m:val="b"/>
                </m:rPr>
                <m:t>P</m:t>
              </m:r>
            </m:e>
            <m:sub>
              <m:r>
                <m:rPr>
                  <m:sty m:val="p"/>
                </m:rPr>
                <m:t>⊥</m:t>
              </m:r>
            </m:sub>
          </m:sSub>
          <m:r>
            <m:rPr>
              <m:sty m:val="p"/>
            </m:rPr>
            <m:t>=</m:t>
          </m:r>
          <m:r>
            <m:rPr>
              <m:sty m:val="b"/>
            </m:rPr>
            <m:t>I</m:t>
          </m:r>
          <m:r>
            <m:rPr>
              <m:sty m:val="p"/>
            </m:rPr>
            <m:t>−</m:t>
          </m:r>
          <m:sSub>
            <m:e>
              <m:r>
                <m:rPr>
                  <m:sty m:val="b"/>
                </m:rPr>
                <m:t>v</m:t>
              </m:r>
            </m:e>
            <m:sub>
              <m:r>
                <m:t>J</m:t>
              </m:r>
            </m:sub>
          </m:sSub>
          <m:sSubSup>
            <m:e>
              <m:r>
                <m:rPr>
                  <m:sty m:val="b"/>
                </m:rPr>
                <m:t>v</m:t>
              </m:r>
            </m:e>
            <m:sub>
              <m:r>
                <m:t>J</m:t>
              </m:r>
            </m:sub>
            <m:sup>
              <m:r>
                <m:t>H</m:t>
              </m:r>
            </m:sup>
          </m:sSubSup>
          <m:r>
            <m:rPr>
              <m:sty m:val="p"/>
            </m:rPr>
            <m:t>.</m:t>
          </m:r>
        </m:oMath>
      </m:oMathPara>
    </w:p>
    <w:p>
      <w:pPr>
        <w:pStyle w:val="FirstParagraph"/>
        <w:spacing w:before="120" w:after="120"/>
        <w:ind w:firstLine="0"/>
        <w:jc w:val="center"/>
      </w:pPr>
      <w:r>
        <w:t xml:space="preserve">由于</w:t>
      </w:r>
      <w:r>
        <w:t xml:space="preserve"> </w:t>
      </w:r>
      <m:oMath>
        <m:sSubSup>
          <m:e>
            <m:r>
              <m:rPr>
                <m:sty m:val="b"/>
              </m:rPr>
              <m:t>v</m:t>
            </m:r>
          </m:e>
          <m:sub>
            <m:r>
              <m:t>J</m:t>
            </m:r>
          </m:sub>
          <m:sup>
            <m:r>
              <m:t>H</m:t>
            </m:r>
          </m:sup>
        </m:sSubSup>
        <m:sSub>
          <m:e>
            <m:r>
              <m:rPr>
                <m:sty m:val="b"/>
              </m:rPr>
              <m:t>v</m:t>
            </m:r>
          </m:e>
          <m:sub>
            <m:r>
              <m:t>J</m:t>
            </m:r>
          </m:sub>
        </m:sSub>
        <m:r>
          <m:rPr>
            <m:sty m:val="p"/>
          </m:rPr>
          <m:t>=</m:t>
        </m:r>
        <m:r>
          <m:t>1</m:t>
        </m:r>
      </m:oMath>
      <w:r>
        <w:t xml:space="preserve">，有</w:t>
      </w:r>
    </w:p>
    <w:p>
      <w:pPr>
        <w:pStyle w:val="BodyText"/>
        <w:spacing w:before="120" w:after="120"/>
        <w:ind w:firstLine="0"/>
        <w:jc w:val="center"/>
      </w:pPr>
      <m:oMathPara>
        <m:oMathParaPr>
          <m:jc m:val="center"/>
        </m:oMathParaPr>
        <m:oMath>
          <m:sSub>
            <m:e>
              <m:r>
                <m:rPr>
                  <m:sty m:val="b"/>
                </m:rPr>
                <m:t>P</m:t>
              </m:r>
            </m:e>
            <m:sub>
              <m:r>
                <m:rPr>
                  <m:sty m:val="p"/>
                </m:rPr>
                <m:t>⊥</m:t>
              </m:r>
            </m:sub>
          </m:sSub>
          <m:sSub>
            <m:e>
              <m:r>
                <m:rPr>
                  <m:sty m:val="b"/>
                </m:rPr>
                <m:t>v</m:t>
              </m:r>
            </m:e>
            <m:sub>
              <m:r>
                <m:t>J</m:t>
              </m:r>
            </m:sub>
          </m:sSub>
          <m:r>
            <m:rPr>
              <m:sty m:val="p"/>
            </m:rPr>
            <m:t>=</m:t>
          </m:r>
          <m:d>
            <m:dPr>
              <m:begChr m:val="("/>
              <m:endChr m:val=")"/>
              <m:sepChr m:val=""/>
              <m:grow/>
            </m:dPr>
            <m:e>
              <m:r>
                <m:rPr>
                  <m:sty m:val="b"/>
                </m:rPr>
                <m:t>I</m:t>
              </m:r>
              <m:r>
                <m:rPr>
                  <m:sty m:val="p"/>
                </m:rPr>
                <m:t>−</m:t>
              </m:r>
              <m:sSub>
                <m:e>
                  <m:r>
                    <m:rPr>
                      <m:sty m:val="b"/>
                    </m:rPr>
                    <m:t>v</m:t>
                  </m:r>
                </m:e>
                <m:sub>
                  <m:r>
                    <m:t>J</m:t>
                  </m:r>
                </m:sub>
              </m:sSub>
              <m:sSubSup>
                <m:e>
                  <m:r>
                    <m:rPr>
                      <m:sty m:val="b"/>
                    </m:rPr>
                    <m:t>v</m:t>
                  </m:r>
                </m:e>
                <m:sub>
                  <m:r>
                    <m:t>J</m:t>
                  </m:r>
                </m:sub>
                <m:sup>
                  <m:r>
                    <m:t>H</m:t>
                  </m:r>
                </m:sup>
              </m:sSubSup>
            </m:e>
          </m:d>
          <m:sSub>
            <m:e>
              <m:r>
                <m:rPr>
                  <m:sty m:val="b"/>
                </m:rPr>
                <m:t>v</m:t>
              </m:r>
            </m:e>
            <m:sub>
              <m:r>
                <m:t>J</m:t>
              </m:r>
            </m:sub>
          </m:sSub>
          <m:r>
            <m:rPr>
              <m:sty m:val="p"/>
            </m:rPr>
            <m:t>=</m:t>
          </m:r>
          <m:r>
            <m:rPr>
              <m:sty m:val="b"/>
            </m:rPr>
            <m:t>0</m:t>
          </m:r>
          <m:r>
            <m:rPr>
              <m:sty m:val="p"/>
            </m:rPr>
            <m:t>.</m:t>
          </m:r>
        </m:oMath>
      </m:oMathPara>
    </w:p>
    <w:p>
      <w:pPr>
        <w:pStyle w:val="FirstParagraph"/>
        <w:spacing w:before="120" w:after="120"/>
        <w:ind w:firstLine="0"/>
        <w:jc w:val="center"/>
      </w:pPr>
      <w:r>
        <w:t xml:space="preserve">因此，任何沿</w:t>
      </w:r>
      <w:r>
        <w:t xml:space="preserve"> </w:t>
      </w:r>
      <m:oMath>
        <m:sSub>
          <m:e>
            <m:r>
              <m:rPr>
                <m:sty m:val="b"/>
              </m:rPr>
              <m:t>v</m:t>
            </m:r>
          </m:e>
          <m:sub>
            <m:r>
              <m:t>J</m:t>
            </m:r>
          </m:sub>
        </m:sSub>
      </m:oMath>
      <w:r>
        <w:t xml:space="preserve"> </w:t>
      </w:r>
      <w:r>
        <w:t xml:space="preserve">方向的信号分量经过</w:t>
      </w:r>
      <w:r>
        <w:t xml:space="preserve"> </w:t>
      </w:r>
      <m:oMath>
        <m:sSub>
          <m:e>
            <m:r>
              <m:rPr>
                <m:sty m:val="b"/>
              </m:rPr>
              <m:t>P</m:t>
            </m:r>
          </m:e>
          <m:sub>
            <m:r>
              <m:rPr>
                <m:sty m:val="p"/>
              </m:rPr>
              <m:t>⊥</m:t>
            </m:r>
          </m:sub>
        </m:sSub>
      </m:oMath>
      <w:r>
        <w:t xml:space="preserve"> </w:t>
      </w:r>
      <w:r>
        <w:t xml:space="preserve">投影后均被消除，这就是形成空间零陷的数学基础。</w:t>
      </w:r>
    </w:p>
    <w:p>
      <w:pPr>
        <w:pStyle w:val="BodyText"/>
      </w:pPr>
      <w:r>
        <w:rPr>
          <w:rFonts w:ascii="Times New Roman" w:hAnsi="Times New Roman" w:eastAsia="宋体"/>
          <w:color w:val="000000"/>
          <w:sz w:val="24"/>
        </w:rPr>
        <w:t xml:space="preserve">为了使最终输出仍以某一个接收通道作为基准，定义参考通道单位基向量</w:t>
      </w:r>
    </w:p>
    <w:p>
      <w:pPr>
        <w:pStyle w:val="BodyText"/>
        <w:spacing w:before="120" w:after="120"/>
        <w:ind w:firstLine="0"/>
        <w:jc w:val="center"/>
      </w:pPr>
      <m:oMathPara>
        <m:oMathParaPr>
          <m:jc m:val="center"/>
        </m:oMathParaPr>
        <m:oMath>
          <m:sSub>
            <m:e>
              <m:r>
                <m:rPr>
                  <m:sty m:val="b"/>
                </m:rPr>
                <m:t>e</m:t>
              </m:r>
            </m:e>
            <m:sub>
              <m:r>
                <m:t>r</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rPr>
                            <m:sty m:val="p"/>
                          </m:rPr>
                          <m:t>⋯</m:t>
                        </m:r>
                      </m:e>
                      <m:e>
                        <m:r>
                          <m:t>0</m:t>
                        </m:r>
                      </m:e>
                      <m:e>
                        <m:r>
                          <m:t>1</m:t>
                        </m:r>
                      </m:e>
                      <m:e>
                        <m:r>
                          <m:t>0</m:t>
                        </m:r>
                      </m:e>
                      <m:e>
                        <m:r>
                          <m:rPr>
                            <m:sty m:val="p"/>
                          </m:rPr>
                          <m:t>⋯</m:t>
                        </m:r>
                      </m:e>
                      <m:e>
                        <m:r>
                          <m:t>0</m:t>
                        </m:r>
                      </m:e>
                    </m:mr>
                  </m:m>
                </m:e>
              </m:d>
            </m:e>
            <m:sup>
              <m:r>
                <m:t>T</m:t>
              </m:r>
            </m:sup>
          </m:sSup>
          <m:r>
            <m:rPr>
              <m:sty m:val="p"/>
            </m:rPr>
            <m:t>,</m:t>
          </m:r>
        </m:oMath>
      </m:oMathPara>
    </w:p>
    <w:p>
      <w:pPr>
        <w:pStyle w:val="FirstParagraph"/>
        <w:spacing w:before="120" w:after="120"/>
        <w:ind w:firstLine="0"/>
        <w:jc w:val="center"/>
      </w:pPr>
      <w:r>
        <w:t xml:space="preserve">其中第</w:t>
      </w:r>
      <w:r>
        <w:t xml:space="preserve"> </w:t>
      </w:r>
      <m:oMath>
        <m:r>
          <m:t>r</m:t>
        </m:r>
      </m:oMath>
      <w:r>
        <w:t xml:space="preserve"> </w:t>
      </w:r>
      <w:r>
        <w:t xml:space="preserve">个元素为1。若没有启用干扰抑制，则</w:t>
      </w:r>
    </w:p>
    <w:p>
      <w:pPr>
        <w:pStyle w:val="BodyText"/>
        <w:spacing w:before="120" w:after="120"/>
        <w:ind w:firstLine="0"/>
        <w:jc w:val="center"/>
      </w:pPr>
      <m:oMathPara>
        <m:oMathParaPr>
          <m:jc m:val="center"/>
        </m:oMathParaPr>
        <m:oMath>
          <m:r>
            <m:t>y</m:t>
          </m:r>
          <m:d>
            <m:dPr>
              <m:begChr m:val="["/>
              <m:endChr m:val="]"/>
              <m:sepChr m:val=""/>
              <m:grow/>
            </m:dPr>
            <m:e>
              <m:r>
                <m:t>n</m:t>
              </m:r>
            </m:e>
          </m:d>
          <m:r>
            <m:rPr>
              <m:sty m:val="p"/>
            </m:rPr>
            <m:t>=</m:t>
          </m:r>
          <m:sSubSup>
            <m:e>
              <m:r>
                <m:rPr>
                  <m:sty m:val="b"/>
                </m:rPr>
                <m:t>e</m:t>
              </m:r>
            </m:e>
            <m:sub>
              <m:r>
                <m:t>r</m:t>
              </m:r>
            </m:sub>
            <m:sup>
              <m:r>
                <m:t>H</m:t>
              </m:r>
            </m:sup>
          </m:sSubSup>
          <m:r>
            <m:rPr>
              <m:sty m:val="b"/>
            </m:rPr>
            <m:t>x</m:t>
          </m:r>
          <m:d>
            <m:dPr>
              <m:begChr m:val="["/>
              <m:endChr m:val="]"/>
              <m:sepChr m:val=""/>
              <m:grow/>
            </m:dPr>
            <m:e>
              <m:r>
                <m:t>n</m:t>
              </m:r>
            </m:e>
          </m:d>
          <m:r>
            <m:rPr>
              <m:sty m:val="p"/>
            </m:rPr>
            <m:t>=</m:t>
          </m:r>
          <m:sSub>
            <m:e>
              <m:r>
                <m:t>x</m:t>
              </m:r>
            </m:e>
            <m:sub>
              <m:r>
                <m:t>r</m:t>
              </m:r>
            </m:sub>
          </m:sSub>
          <m:d>
            <m:dPr>
              <m:begChr m:val="["/>
              <m:endChr m:val="]"/>
              <m:sepChr m:val=""/>
              <m:grow/>
            </m:dPr>
            <m:e>
              <m:r>
                <m:t>n</m:t>
              </m:r>
            </m:e>
          </m:d>
          <m:r>
            <m:rPr>
              <m:sty m:val="p"/>
            </m:rPr>
            <m:t>,</m:t>
          </m:r>
        </m:oMath>
      </m:oMathPara>
    </w:p>
    <w:p>
      <w:pPr>
        <w:pStyle w:val="FirstParagraph"/>
      </w:pPr>
      <w:r>
        <w:rPr>
          <w:rFonts w:ascii="Times New Roman" w:hAnsi="Times New Roman" w:eastAsia="宋体"/>
          <w:color w:val="000000"/>
          <w:sz w:val="24"/>
        </w:rPr>
        <w:t xml:space="preserve">即直接使用参考通道作为输出。</w:t>
      </w:r>
    </w:p>
    <w:p>
      <w:pPr>
        <w:pStyle w:val="BodyText"/>
      </w:pPr>
      <w:r>
        <w:rPr>
          <w:rFonts w:ascii="Times New Roman" w:hAnsi="Times New Roman" w:eastAsia="宋体"/>
          <w:color w:val="000000"/>
          <w:sz w:val="24"/>
        </w:rPr>
        <w:t xml:space="preserve">检测到干扰后，将参考权值向量投影到干扰正交补空间</w:t>
      </w:r>
    </w:p>
    <w:p>
      <w:pPr>
        <w:pStyle w:val="BodyText"/>
        <w:spacing w:before="120" w:after="120"/>
        <w:ind w:firstLine="0"/>
        <w:jc w:val="center"/>
      </w:pPr>
      <m:oMathPara>
        <m:oMathParaPr>
          <m:jc m:val="center"/>
        </m:oMathParaPr>
        <m:oMath>
          <m:acc>
            <m:accPr>
              <m:chr m:val="̃"/>
            </m:accPr>
            <m:e>
              <m:r>
                <m:rPr>
                  <m:sty m:val="b"/>
                </m:rPr>
                <m:t>w</m:t>
              </m:r>
            </m:e>
          </m:acc>
          <m:r>
            <m:rPr>
              <m:sty m:val="p"/>
            </m:rPr>
            <m:t>=</m:t>
          </m:r>
          <m:sSub>
            <m:e>
              <m:r>
                <m:rPr>
                  <m:sty m:val="b"/>
                </m:rPr>
                <m:t>P</m:t>
              </m:r>
            </m:e>
            <m:sub>
              <m:r>
                <m:rPr>
                  <m:sty m:val="p"/>
                </m:rPr>
                <m:t>⊥</m:t>
              </m:r>
            </m:sub>
          </m:sSub>
          <m:sSub>
            <m:e>
              <m:r>
                <m:rPr>
                  <m:sty m:val="b"/>
                </m:rPr>
                <m:t>e</m:t>
              </m:r>
            </m:e>
            <m:sub>
              <m:r>
                <m:t>r</m:t>
              </m:r>
            </m:sub>
          </m:sSub>
          <m:r>
            <m:rPr>
              <m:sty m:val="p"/>
            </m:rPr>
            <m:t>.</m:t>
          </m:r>
        </m:oMath>
      </m:oMathPara>
    </w:p>
    <w:p>
      <w:pPr>
        <w:pStyle w:val="FirstParagraph"/>
        <w:spacing w:before="120" w:after="120"/>
        <w:ind w:firstLine="0"/>
        <w:jc w:val="center"/>
      </w:pPr>
      <w:r>
        <w:t xml:space="preserve">从几何意义上看，该操作等价于从原始参考权值中删除沿干扰空间方向的分量，使新的权值向量与干扰空间向量正交。此处并不是只提取干扰特征向量在参考通道上的某一个分量，而是利用参考通道对应分量衡量参考方向与干扰方向的重合程度，并结合完整的</w:t>
      </w:r>
      <w:r>
        <w:t xml:space="preserve"> </w:t>
      </w:r>
      <m:oMath>
        <m:sSub>
          <m:e>
            <m:r>
              <m:rPr>
                <m:sty m:val="b"/>
              </m:rPr>
              <m:t>v</m:t>
            </m:r>
          </m:e>
          <m:sub>
            <m:r>
              <m:t>J</m:t>
            </m:r>
          </m:sub>
        </m:sSub>
      </m:oMath>
      <w:r>
        <w:t xml:space="preserve"> </w:t>
      </w:r>
      <w:r>
        <w:t xml:space="preserve">计算所有辅助通道所需的复数权重。</w:t>
      </w:r>
    </w:p>
    <w:p>
      <w:pPr>
        <w:pStyle w:val="BodyText"/>
      </w:pPr>
      <w:r>
        <w:rPr>
          <w:rFonts w:ascii="Times New Roman" w:hAnsi="Times New Roman" w:eastAsia="宋体"/>
          <w:color w:val="000000"/>
          <w:sz w:val="24"/>
        </w:rPr>
        <w:t xml:space="preserve">为了使参考通道本身的系数保持为1，进一步定义</w:t>
      </w:r>
    </w:p>
    <w:p>
      <w:pPr>
        <w:pStyle w:val="BodyText"/>
        <w:spacing w:before="120" w:after="120"/>
        <w:ind w:firstLine="0"/>
        <w:jc w:val="center"/>
      </w:pPr>
      <m:oMathPara>
        <m:oMathParaPr>
          <m:jc m:val="center"/>
        </m:oMathParaPr>
        <m:oMath>
          <m:r>
            <m:t>γ</m:t>
          </m:r>
          <m:r>
            <m:rPr>
              <m:sty m:val="p"/>
            </m:rPr>
            <m:t>=</m:t>
          </m:r>
          <m:sSubSup>
            <m:e>
              <m:r>
                <m:rPr>
                  <m:sty m:val="b"/>
                </m:rPr>
                <m:t>e</m:t>
              </m:r>
            </m:e>
            <m:sub>
              <m:r>
                <m:t>r</m:t>
              </m:r>
            </m:sub>
            <m:sup>
              <m:r>
                <m:t>H</m:t>
              </m:r>
            </m:sup>
          </m:sSubSup>
          <m:sSub>
            <m:e>
              <m:r>
                <m:rPr>
                  <m:sty m:val="b"/>
                </m:rPr>
                <m:t>P</m:t>
              </m:r>
            </m:e>
            <m:sub>
              <m:r>
                <m:rPr>
                  <m:sty m:val="p"/>
                </m:rPr>
                <m:t>⊥</m:t>
              </m:r>
            </m:sub>
          </m:sSub>
          <m:sSub>
            <m:e>
              <m:r>
                <m:rPr>
                  <m:sty m:val="b"/>
                </m:rPr>
                <m:t>e</m:t>
              </m:r>
            </m:e>
            <m:sub>
              <m:r>
                <m:t>r</m:t>
              </m:r>
            </m:sub>
          </m:sSub>
          <m:r>
            <m:rPr>
              <m:sty m:val="p"/>
            </m:rPr>
            <m:t>,</m:t>
          </m:r>
        </m:oMath>
      </m:oMathPara>
    </w:p>
    <w:p>
      <w:pPr>
        <w:pStyle w:val="FirstParagraph"/>
      </w:pPr>
      <w:r>
        <w:rPr>
          <w:rFonts w:ascii="Times New Roman" w:hAnsi="Times New Roman" w:eastAsia="宋体"/>
          <w:color w:val="000000"/>
          <w:sz w:val="24"/>
        </w:rPr>
        <w:t xml:space="preserve">并对权值进行归一化</w:t>
      </w:r>
    </w:p>
    <w:p>
      <w:pPr>
        <w:pStyle w:val="BodyText"/>
        <w:spacing w:before="120" w:after="120"/>
        <w:ind w:firstLine="0"/>
        <w:jc w:val="center"/>
      </w:pPr>
      <m:oMathPara>
        <m:oMathParaPr>
          <m:jc m:val="center"/>
        </m:oMathParaPr>
        <m:oMath>
          <m:r>
            <m:rPr>
              <m:sty m:val="b"/>
            </m:rPr>
            <m:t>w</m:t>
          </m:r>
          <m:r>
            <m:rPr>
              <m:sty m:val="p"/>
            </m:rPr>
            <m:t>=</m:t>
          </m:r>
          <m:f>
            <m:fPr>
              <m:type m:val="bar"/>
            </m:fPr>
            <m:num>
              <m:sSub>
                <m:e>
                  <m:r>
                    <m:rPr>
                      <m:sty m:val="b"/>
                    </m:rPr>
                    <m:t>P</m:t>
                  </m:r>
                </m:e>
                <m:sub>
                  <m:r>
                    <m:rPr>
                      <m:sty m:val="p"/>
                    </m:rPr>
                    <m:t>⊥</m:t>
                  </m:r>
                </m:sub>
              </m:sSub>
              <m:sSub>
                <m:e>
                  <m:r>
                    <m:rPr>
                      <m:sty m:val="b"/>
                    </m:rPr>
                    <m:t>e</m:t>
                  </m:r>
                </m:e>
                <m:sub>
                  <m:r>
                    <m:t>r</m:t>
                  </m:r>
                </m:sub>
              </m:sSub>
            </m:num>
            <m:den>
              <m:sSubSup>
                <m:e>
                  <m:r>
                    <m:rPr>
                      <m:sty m:val="b"/>
                    </m:rPr>
                    <m:t>e</m:t>
                  </m:r>
                </m:e>
                <m:sub>
                  <m:r>
                    <m:t>r</m:t>
                  </m:r>
                </m:sub>
                <m:sup>
                  <m:r>
                    <m:t>H</m:t>
                  </m:r>
                </m:sup>
              </m:sSubSup>
              <m:sSub>
                <m:e>
                  <m:r>
                    <m:rPr>
                      <m:sty m:val="b"/>
                    </m:rPr>
                    <m:t>P</m:t>
                  </m:r>
                </m:e>
                <m:sub>
                  <m:r>
                    <m:rPr>
                      <m:sty m:val="p"/>
                    </m:rPr>
                    <m:t>⊥</m:t>
                  </m:r>
                </m:sub>
              </m:sSub>
              <m:sSub>
                <m:e>
                  <m:r>
                    <m:rPr>
                      <m:sty m:val="b"/>
                    </m:rPr>
                    <m:t>e</m:t>
                  </m:r>
                </m:e>
                <m:sub>
                  <m:r>
                    <m:t>r</m:t>
                  </m:r>
                </m:sub>
              </m:sSub>
            </m:den>
          </m:f>
          <m:r>
            <m:rPr>
              <m:sty m:val="p"/>
            </m:rPr>
            <m:t>=</m:t>
          </m:r>
          <m:f>
            <m:fPr>
              <m:type m:val="bar"/>
            </m:fPr>
            <m:num>
              <m:sSub>
                <m:e>
                  <m:r>
                    <m:rPr>
                      <m:sty m:val="b"/>
                    </m:rPr>
                    <m:t>P</m:t>
                  </m:r>
                </m:e>
                <m:sub>
                  <m:r>
                    <m:rPr>
                      <m:sty m:val="p"/>
                    </m:rPr>
                    <m:t>⊥</m:t>
                  </m:r>
                </m:sub>
              </m:sSub>
              <m:sSub>
                <m:e>
                  <m:r>
                    <m:rPr>
                      <m:sty m:val="b"/>
                    </m:rPr>
                    <m:t>e</m:t>
                  </m:r>
                </m:e>
                <m:sub>
                  <m:r>
                    <m:t>r</m:t>
                  </m:r>
                </m:sub>
              </m:sSub>
            </m:num>
            <m:den>
              <m:r>
                <m:t>γ</m:t>
              </m:r>
            </m:den>
          </m:f>
          <m:r>
            <m:rPr>
              <m:sty m:val="p"/>
            </m:rPr>
            <m:t>.</m:t>
          </m:r>
        </m:oMath>
      </m:oMathPara>
    </w:p>
    <w:p>
      <w:pPr>
        <w:pStyle w:val="FirstParagraph"/>
      </w:pPr>
      <w:r>
        <w:rPr>
          <w:rFonts w:ascii="Times New Roman" w:hAnsi="Times New Roman" w:eastAsia="宋体"/>
          <w:color w:val="000000"/>
          <w:sz w:val="24"/>
        </w:rPr>
        <w:t xml:space="preserve">由此可验证</w:t>
      </w:r>
    </w:p>
    <w:p>
      <w:pPr>
        <w:pStyle w:val="BodyText"/>
        <w:spacing w:before="120" w:after="120"/>
        <w:ind w:firstLine="0"/>
        <w:jc w:val="center"/>
      </w:pPr>
      <m:oMathPara>
        <m:oMathParaPr>
          <m:jc m:val="center"/>
        </m:oMathParaPr>
        <m:oMath>
          <m:sSup>
            <m:e>
              <m:r>
                <m:rPr>
                  <m:sty m:val="b"/>
                </m:rPr>
                <m:t>w</m:t>
              </m:r>
            </m:e>
            <m:sup>
              <m:r>
                <m:t>H</m:t>
              </m:r>
            </m:sup>
          </m:sSup>
          <m:sSub>
            <m:e>
              <m:r>
                <m:rPr>
                  <m:sty m:val="b"/>
                </m:rPr>
                <m:t>v</m:t>
              </m:r>
            </m:e>
            <m:sub>
              <m:r>
                <m:t>J</m:t>
              </m:r>
            </m:sub>
          </m:sSub>
          <m:r>
            <m:rPr>
              <m:sty m:val="p"/>
            </m:rPr>
            <m:t>=</m:t>
          </m:r>
          <m:r>
            <m:t>0</m:t>
          </m:r>
          <m:r>
            <m:rPr>
              <m:sty m:val="p"/>
            </m:rPr>
            <m:t>,</m:t>
          </m:r>
        </m:oMath>
      </m:oMathPara>
    </w:p>
    <w:p>
      <w:pPr>
        <w:pStyle w:val="FirstParagraph"/>
      </w:pPr>
      <w:r>
        <w:rPr>
          <w:rFonts w:ascii="Times New Roman" w:hAnsi="Times New Roman" w:eastAsia="宋体"/>
          <w:color w:val="000000"/>
          <w:sz w:val="24"/>
        </w:rPr>
        <w:t xml:space="preserve">同时满足</w:t>
      </w:r>
    </w:p>
    <w:p>
      <w:pPr>
        <w:pStyle w:val="BodyText"/>
        <w:spacing w:before="120" w:after="120"/>
        <w:ind w:firstLine="0"/>
        <w:jc w:val="center"/>
      </w:pPr>
      <m:oMathPara>
        <m:oMathParaPr>
          <m:jc m:val="center"/>
        </m:oMathParaPr>
        <m:oMath>
          <m:sSup>
            <m:e>
              <m:r>
                <m:rPr>
                  <m:sty m:val="b"/>
                </m:rPr>
                <m:t>w</m:t>
              </m:r>
            </m:e>
            <m:sup>
              <m:r>
                <m:t>H</m:t>
              </m:r>
            </m:sup>
          </m:sSup>
          <m:sSub>
            <m:e>
              <m:r>
                <m:rPr>
                  <m:sty m:val="b"/>
                </m:rPr>
                <m:t>e</m:t>
              </m:r>
            </m:e>
            <m:sub>
              <m:r>
                <m:t>r</m:t>
              </m:r>
            </m:sub>
          </m:sSub>
          <m:r>
            <m:rPr>
              <m:sty m:val="p"/>
            </m:rPr>
            <m:t>=</m:t>
          </m:r>
          <m:r>
            <m:t>1</m:t>
          </m:r>
          <m:r>
            <m:rPr>
              <m:sty m:val="p"/>
            </m:rPr>
            <m:t>.</m:t>
          </m:r>
        </m:oMath>
      </m:oMathPara>
    </w:p>
    <w:p>
      <w:pPr>
        <w:pStyle w:val="FirstParagraph"/>
      </w:pPr>
      <w:r>
        <w:rPr>
          <w:rFonts w:ascii="Times New Roman" w:hAnsi="Times New Roman" w:eastAsia="宋体"/>
          <w:color w:val="000000"/>
          <w:sz w:val="24"/>
        </w:rPr>
        <w:t xml:space="preserve">最终合并输出为</w:t>
      </w:r>
    </w:p>
    <w:p>
      <w:pPr>
        <w:pStyle w:val="BodyText"/>
        <w:spacing w:before="120" w:after="120"/>
        <w:ind w:firstLine="0"/>
        <w:jc w:val="center"/>
      </w:pPr>
      <m:oMathPara>
        <m:oMathParaPr>
          <m:jc m:val="center"/>
        </m:oMathParaPr>
        <m:oMath>
          <m:r>
            <m:t>y</m:t>
          </m:r>
          <m:d>
            <m:dPr>
              <m:begChr m:val="["/>
              <m:endChr m:val="]"/>
              <m:sepChr m:val=""/>
              <m:grow/>
            </m:dPr>
            <m:e>
              <m:r>
                <m:t>n</m:t>
              </m:r>
            </m:e>
          </m:d>
          <m:r>
            <m:rPr>
              <m:sty m:val="p"/>
            </m:rPr>
            <m:t>=</m:t>
          </m:r>
          <m:sSup>
            <m:e>
              <m:r>
                <m:rPr>
                  <m:sty m:val="b"/>
                </m:rPr>
                <m:t>w</m:t>
              </m:r>
            </m:e>
            <m:sup>
              <m:r>
                <m:t>H</m:t>
              </m:r>
            </m:sup>
          </m:sSup>
          <m:r>
            <m:rPr>
              <m:sty m:val="b"/>
            </m:rPr>
            <m:t>x</m:t>
          </m:r>
          <m:d>
            <m:dPr>
              <m:begChr m:val="["/>
              <m:endChr m:val="]"/>
              <m:sepChr m:val=""/>
              <m:grow/>
            </m:dPr>
            <m:e>
              <m:r>
                <m:t>n</m:t>
              </m:r>
            </m:e>
          </m:d>
          <m:r>
            <m:rPr>
              <m:sty m:val="p"/>
            </m:rPr>
            <m:t>.</m:t>
          </m:r>
        </m:oMath>
      </m:oMathPara>
    </w:p>
    <w:p>
      <w:pPr>
        <w:pStyle w:val="FirstParagraph"/>
      </w:pPr>
      <w:r>
        <w:rPr>
          <w:rFonts w:ascii="Times New Roman" w:hAnsi="Times New Roman" w:eastAsia="宋体"/>
          <w:color w:val="000000"/>
          <w:sz w:val="24"/>
        </w:rPr>
        <w:t xml:space="preserve">因此，该权值同时实现两个目标：一方面使估计干扰方向的响应为零；另一方面使参考通道保持单位响应。从工程角度看，最终输出可以理解为“参考通道信号加上若干辅助通道的复数加权信号”，其中辅助通道的幅度和相位被自动调整，使其产生与参考通道干扰分量等幅反相的抵消分量。</w:t>
      </w:r>
    </w:p>
    <w:bookmarkEnd w:id="26"/>
    <w:bookmarkStart w:id="27" w:name="双通道情况下的直观解释"/>
    <w:p>
      <w:pPr>
        <w:pStyle w:val="Heading2"/>
      </w:pPr>
      <w:r>
        <w:rPr>
          <w:rFonts w:ascii="Times New Roman" w:hAnsi="Times New Roman" w:eastAsia="宋体"/>
          <w:b/>
          <w:color w:val="000000"/>
          <w:sz w:val="28"/>
        </w:rPr>
        <w:t xml:space="preserve">双通道情况下的直观解释</w:t>
      </w:r>
    </w:p>
    <w:p>
      <w:pPr>
        <w:pStyle w:val="FirstParagraph"/>
      </w:pPr>
      <w:r>
        <w:rPr>
          <w:rFonts w:ascii="Times New Roman" w:hAnsi="Times New Roman" w:eastAsia="宋体"/>
          <w:color w:val="000000"/>
          <w:sz w:val="24"/>
        </w:rPr>
        <w:t xml:space="preserve">对于双通道系统，设参考通道为通道1，单位化后的干扰空间向量为</w:t>
      </w:r>
    </w:p>
    <w:p>
      <w:pPr>
        <w:pStyle w:val="BodyText"/>
        <w:spacing w:before="120" w:after="120"/>
        <w:ind w:firstLine="0"/>
        <w:jc w:val="center"/>
      </w:pPr>
      <m:oMathPara>
        <m:oMathParaPr>
          <m:jc m:val="center"/>
        </m:oMathParaPr>
        <m:oMath>
          <m:sSub>
            <m:e>
              <m:r>
                <m:rPr>
                  <m:sty m:val="b"/>
                </m:rPr>
                <m:t>v</m:t>
              </m:r>
            </m:e>
            <m:sub>
              <m:r>
                <m:t>J</m:t>
              </m:r>
            </m:sub>
          </m:sSub>
          <m:r>
            <m:rPr>
              <m:sty m:val="p"/>
            </m:rPr>
            <m:t>=</m:t>
          </m:r>
          <m:d>
            <m:dPr>
              <m:begChr m:val="["/>
              <m:endChr m:val="]"/>
              <m:sepChr m:val=""/>
              <m:grow/>
            </m:dPr>
            <m:e>
              <m:m>
                <m:mPr>
                  <m:baseJc m:val="center"/>
                  <m:plcHide m:val="on"/>
                  <m:mcs>
                    <m:mc>
                      <m:mcPr>
                        <m:mcJc m:val="center"/>
                        <m:count m:val="1"/>
                      </m:mcPr>
                    </m:mc>
                  </m:mcs>
                </m:mPr>
                <m:mr>
                  <m:e>
                    <m:sSub>
                      <m:e>
                        <m:r>
                          <m:t>v</m:t>
                        </m:r>
                      </m:e>
                      <m:sub>
                        <m:r>
                          <m:t>1</m:t>
                        </m:r>
                      </m:sub>
                    </m:sSub>
                  </m:e>
                </m:mr>
                <m:mr>
                  <m:e>
                    <m:sSub>
                      <m:e>
                        <m:r>
                          <m:t>v</m:t>
                        </m:r>
                      </m:e>
                      <m:sub>
                        <m:r>
                          <m:t>2</m:t>
                        </m:r>
                      </m:sub>
                    </m:sSub>
                  </m:e>
                </m:mr>
              </m:m>
            </m:e>
          </m:d>
          <m:r>
            <m:rPr>
              <m:sty m:val="p"/>
            </m:rPr>
            <m:t>,</m:t>
          </m:r>
          <m:r>
            <m:t>  </m:t>
          </m:r>
          <m:sSup>
            <m:e>
              <m:d>
                <m:dPr>
                  <m:begChr m:val="|"/>
                  <m:endChr m:val="|"/>
                  <m:sepChr m:val=""/>
                  <m:grow/>
                </m:dPr>
                <m:e>
                  <m:sSub>
                    <m:e>
                      <m:r>
                        <m:t>v</m:t>
                      </m:r>
                    </m:e>
                    <m:sub>
                      <m:r>
                        <m:t>1</m:t>
                      </m:r>
                    </m:sub>
                  </m:sSub>
                </m:e>
              </m:d>
            </m:e>
            <m:sup>
              <m:r>
                <m:t>2</m:t>
              </m:r>
            </m:sup>
          </m:sSup>
          <m:r>
            <m:rPr>
              <m:sty m:val="p"/>
            </m:rPr>
            <m:t>+</m:t>
          </m:r>
          <m:sSup>
            <m:e>
              <m:d>
                <m:dPr>
                  <m:begChr m:val="|"/>
                  <m:endChr m:val="|"/>
                  <m:sepChr m:val=""/>
                  <m:grow/>
                </m:dPr>
                <m:e>
                  <m:sSub>
                    <m:e>
                      <m:r>
                        <m:t>v</m:t>
                      </m:r>
                    </m:e>
                    <m:sub>
                      <m:r>
                        <m:t>2</m:t>
                      </m:r>
                    </m:sub>
                  </m:sSub>
                </m:e>
              </m:d>
            </m:e>
            <m:sup>
              <m:r>
                <m:t>2</m:t>
              </m:r>
            </m:sup>
          </m:sSup>
          <m:r>
            <m:rPr>
              <m:sty m:val="p"/>
            </m:rPr>
            <m:t>=</m:t>
          </m:r>
          <m:r>
            <m:t>1</m:t>
          </m:r>
          <m:r>
            <m:rPr>
              <m:sty m:val="p"/>
            </m:rPr>
            <m:t>.</m:t>
          </m:r>
        </m:oMath>
      </m:oMathPara>
    </w:p>
    <w:p>
      <w:pPr>
        <w:pStyle w:val="FirstParagraph"/>
      </w:pPr>
      <w:r>
        <w:rPr>
          <w:rFonts w:ascii="Times New Roman" w:hAnsi="Times New Roman" w:eastAsia="宋体"/>
          <w:color w:val="000000"/>
          <w:sz w:val="24"/>
        </w:rPr>
        <w:t xml:space="preserve">经过上述投影和归一化后，权值可化简为</w:t>
      </w:r>
    </w:p>
    <w:p>
      <w:pPr>
        <w:pStyle w:val="BodyText"/>
        <w:spacing w:before="120" w:after="120"/>
        <w:ind w:firstLine="0"/>
        <w:jc w:val="center"/>
      </w:pPr>
      <m:oMathPara>
        <m:oMathParaPr>
          <m:jc m:val="center"/>
        </m:oMathParaPr>
        <m:oMath>
          <m:r>
            <m:rPr>
              <m:sty m:val="b"/>
            </m:rPr>
            <m:t>w</m:t>
          </m:r>
          <m:r>
            <m:rPr>
              <m:sty m:val="p"/>
            </m:rPr>
            <m:t>=</m:t>
          </m:r>
          <m:d>
            <m:dPr>
              <m:begChr m:val="["/>
              <m:endChr m:val="]"/>
              <m:sepChr m:val=""/>
              <m:grow/>
            </m:dPr>
            <m:e>
              <m:m>
                <m:mPr>
                  <m:baseJc m:val="center"/>
                  <m:plcHide m:val="on"/>
                  <m:mcs>
                    <m:mc>
                      <m:mcPr>
                        <m:mcJc m:val="center"/>
                        <m:count m:val="1"/>
                      </m:mcPr>
                    </m:mc>
                  </m:mcs>
                </m:mPr>
                <m:mr>
                  <m:e>
                    <m:r>
                      <m:t>1</m:t>
                    </m:r>
                  </m:e>
                </m:mr>
                <m:mr>
                  <m:e>
                    <m:r>
                      <m:rPr>
                        <m:sty m:val="p"/>
                      </m:rPr>
                      <m:t>−</m:t>
                    </m:r>
                    <m:f>
                      <m:fPr>
                        <m:type m:val="bar"/>
                      </m:fPr>
                      <m:num>
                        <m:bar>
                          <m:barPr>
                            <m:pos m:val="top"/>
                          </m:barPr>
                          <m:e>
                            <m:sSub>
                              <m:e>
                                <m:r>
                                  <m:t>v</m:t>
                                </m:r>
                              </m:e>
                              <m:sub>
                                <m:r>
                                  <m:t>1</m:t>
                                </m:r>
                              </m:sub>
                            </m:sSub>
                          </m:e>
                        </m:bar>
                      </m:num>
                      <m:den>
                        <m:bar>
                          <m:barPr>
                            <m:pos m:val="top"/>
                          </m:barPr>
                          <m:e>
                            <m:sSub>
                              <m:e>
                                <m:r>
                                  <m:t>v</m:t>
                                </m:r>
                              </m:e>
                              <m:sub>
                                <m:r>
                                  <m:t>2</m:t>
                                </m:r>
                              </m:sub>
                            </m:sSub>
                          </m:e>
                        </m:bar>
                      </m:den>
                    </m:f>
                  </m:e>
                </m:mr>
              </m:m>
            </m:e>
          </m:d>
          <m:r>
            <m:rPr>
              <m:sty m:val="p"/>
            </m:rPr>
            <m:t>.</m:t>
          </m:r>
        </m:oMath>
      </m:oMathPara>
    </w:p>
    <w:p>
      <w:pPr>
        <w:pStyle w:val="FirstParagraph"/>
        <w:spacing w:before="120" w:after="120"/>
        <w:ind w:firstLine="0"/>
        <w:jc w:val="center"/>
      </w:pPr>
      <w:r>
        <w:t xml:space="preserve">由于实际输出为</w:t>
      </w:r>
      <w:r>
        <w:t xml:space="preserve"> </w:t>
      </w:r>
      <m:oMath>
        <m:sSup>
          <m:e>
            <m:r>
              <m:rPr>
                <m:sty m:val="b"/>
              </m:rPr>
              <m:t>w</m:t>
            </m:r>
          </m:e>
          <m:sup>
            <m:r>
              <m:t>H</m:t>
            </m:r>
          </m:sup>
        </m:sSup>
        <m:r>
          <m:rPr>
            <m:sty m:val="b"/>
          </m:rPr>
          <m:t>x</m:t>
        </m:r>
      </m:oMath>
      <w:r>
        <w:t xml:space="preserve">，因此有</w:t>
      </w:r>
    </w:p>
    <w:p>
      <w:pPr>
        <w:pStyle w:val="BodyText"/>
        <w:spacing w:before="120" w:after="120"/>
        <w:ind w:firstLine="0"/>
        <w:jc w:val="center"/>
      </w:pPr>
      <m:oMathPara>
        <m:oMathParaPr>
          <m:jc m:val="center"/>
        </m:oMathParaPr>
        <m:oMath>
          <m:r>
            <m:t>y</m:t>
          </m:r>
          <m:r>
            <m:rPr>
              <m:sty m:val="p"/>
            </m:rPr>
            <m:t>=</m:t>
          </m:r>
          <m:sSub>
            <m:e>
              <m:r>
                <m:t>x</m:t>
              </m:r>
            </m:e>
            <m:sub>
              <m:r>
                <m:t>1</m:t>
              </m:r>
            </m:sub>
          </m:sSub>
          <m:r>
            <m:rPr>
              <m:sty m:val="p"/>
            </m:rPr>
            <m:t>−</m:t>
          </m:r>
          <m:f>
            <m:fPr>
              <m:type m:val="bar"/>
            </m:fPr>
            <m:num>
              <m:sSub>
                <m:e>
                  <m:r>
                    <m:t>v</m:t>
                  </m:r>
                </m:e>
                <m:sub>
                  <m:r>
                    <m:t>1</m:t>
                  </m:r>
                </m:sub>
              </m:sSub>
            </m:num>
            <m:den>
              <m:sSub>
                <m:e>
                  <m:r>
                    <m:t>v</m:t>
                  </m:r>
                </m:e>
                <m:sub>
                  <m:r>
                    <m:t>2</m:t>
                  </m:r>
                </m:sub>
              </m:sSub>
            </m:den>
          </m:f>
          <m:sSub>
            <m:e>
              <m:r>
                <m:t>x</m:t>
              </m:r>
            </m:e>
            <m:sub>
              <m:r>
                <m:t>2</m:t>
              </m:r>
            </m:sub>
          </m:sSub>
          <m:r>
            <m:rPr>
              <m:sty m:val="p"/>
            </m:rPr>
            <m:t>.</m:t>
          </m:r>
        </m:oMath>
      </m:oMathPara>
    </w:p>
    <w:p>
      <w:pPr>
        <w:pStyle w:val="FirstParagraph"/>
      </w:pPr>
      <w:r>
        <w:rPr>
          <w:rFonts w:ascii="Times New Roman" w:hAnsi="Times New Roman" w:eastAsia="宋体"/>
          <w:color w:val="000000"/>
          <w:sz w:val="24"/>
        </w:rPr>
        <w:t xml:space="preserve">若两个通道中的干扰分别为</w:t>
      </w:r>
    </w:p>
    <w:p>
      <w:pPr>
        <w:pStyle w:val="BodyText"/>
        <w:spacing w:before="120" w:after="120"/>
        <w:ind w:firstLine="0"/>
        <w:jc w:val="center"/>
      </w:pPr>
      <m:oMathPara>
        <m:oMathParaPr>
          <m:jc m:val="center"/>
        </m:oMathParaPr>
        <m:oMath>
          <m:sSub>
            <m:e>
              <m:r>
                <m:t>x</m:t>
              </m:r>
            </m:e>
            <m:sub>
              <m:r>
                <m:t>J</m:t>
              </m:r>
              <m:r>
                <m:rPr>
                  <m:sty m:val="p"/>
                </m:rPr>
                <m:t>,</m:t>
              </m:r>
              <m:r>
                <m:t>1</m:t>
              </m:r>
            </m:sub>
          </m:sSub>
          <m:r>
            <m:rPr>
              <m:sty m:val="p"/>
            </m:rPr>
            <m:t>=</m:t>
          </m:r>
          <m:sSub>
            <m:e>
              <m:r>
                <m:t>v</m:t>
              </m:r>
            </m:e>
            <m:sub>
              <m:r>
                <m:t>1</m:t>
              </m:r>
            </m:sub>
          </m:sSub>
          <m:r>
            <m:t>j</m:t>
          </m:r>
          <m:r>
            <m:rPr>
              <m:sty m:val="p"/>
            </m:rPr>
            <m:t>,</m:t>
          </m:r>
          <m:r>
            <m:t>  </m:t>
          </m:r>
          <m:sSub>
            <m:e>
              <m:r>
                <m:t>x</m:t>
              </m:r>
            </m:e>
            <m:sub>
              <m:r>
                <m:t>J</m:t>
              </m:r>
              <m:r>
                <m:rPr>
                  <m:sty m:val="p"/>
                </m:rPr>
                <m:t>,</m:t>
              </m:r>
              <m:r>
                <m:t>2</m:t>
              </m:r>
            </m:sub>
          </m:sSub>
          <m:r>
            <m:rPr>
              <m:sty m:val="p"/>
            </m:rPr>
            <m:t>=</m:t>
          </m:r>
          <m:sSub>
            <m:e>
              <m:r>
                <m:t>v</m:t>
              </m:r>
            </m:e>
            <m:sub>
              <m:r>
                <m:t>2</m:t>
              </m:r>
            </m:sub>
          </m:sSub>
          <m:r>
            <m:t>j</m:t>
          </m:r>
          <m:r>
            <m:rPr>
              <m:sty m:val="p"/>
            </m:rPr>
            <m:t>,</m:t>
          </m:r>
        </m:oMath>
      </m:oMathPara>
    </w:p>
    <w:p>
      <w:pPr>
        <w:pStyle w:val="FirstParagraph"/>
      </w:pPr>
      <w:r>
        <w:rPr>
          <w:rFonts w:ascii="Times New Roman" w:hAnsi="Times New Roman" w:eastAsia="宋体"/>
          <w:color w:val="000000"/>
          <w:sz w:val="24"/>
        </w:rPr>
        <w:t xml:space="preserve">则合并后的干扰项为</w:t>
      </w:r>
    </w:p>
    <w:p>
      <w:pPr>
        <w:pStyle w:val="BodyText"/>
        <w:spacing w:before="120" w:after="120"/>
        <w:ind w:firstLine="0"/>
        <w:jc w:val="center"/>
      </w:pPr>
      <m:oMathPara>
        <m:oMathParaPr>
          <m:jc m:val="center"/>
        </m:oMathParaPr>
        <m:oMath>
          <m:sSub>
            <m:e>
              <m:r>
                <m:t>y</m:t>
              </m:r>
            </m:e>
            <m:sub>
              <m:r>
                <m:t>J</m:t>
              </m:r>
            </m:sub>
          </m:sSub>
          <m:r>
            <m:rPr>
              <m:sty m:val="p"/>
            </m:rPr>
            <m:t>=</m:t>
          </m:r>
          <m:sSub>
            <m:e>
              <m:r>
                <m:t>v</m:t>
              </m:r>
            </m:e>
            <m:sub>
              <m:r>
                <m:t>1</m:t>
              </m:r>
            </m:sub>
          </m:sSub>
          <m:r>
            <m:t>j</m:t>
          </m:r>
          <m:r>
            <m:rPr>
              <m:sty m:val="p"/>
            </m:rPr>
            <m:t>−</m:t>
          </m:r>
          <m:f>
            <m:fPr>
              <m:type m:val="bar"/>
            </m:fPr>
            <m:num>
              <m:sSub>
                <m:e>
                  <m:r>
                    <m:t>v</m:t>
                  </m:r>
                </m:e>
                <m:sub>
                  <m:r>
                    <m:t>1</m:t>
                  </m:r>
                </m:sub>
              </m:sSub>
            </m:num>
            <m:den>
              <m:sSub>
                <m:e>
                  <m:r>
                    <m:t>v</m:t>
                  </m:r>
                </m:e>
                <m:sub>
                  <m:r>
                    <m:t>2</m:t>
                  </m:r>
                </m:sub>
              </m:sSub>
            </m:den>
          </m:f>
          <m:sSub>
            <m:e>
              <m:r>
                <m:t>v</m:t>
              </m:r>
            </m:e>
            <m:sub>
              <m:r>
                <m:t>2</m:t>
              </m:r>
            </m:sub>
          </m:sSub>
          <m:r>
            <m:t>j</m:t>
          </m:r>
          <m:r>
            <m:rPr>
              <m:sty m:val="p"/>
            </m:rPr>
            <m:t>=</m:t>
          </m:r>
          <m:r>
            <m:t>0</m:t>
          </m:r>
          <m:r>
            <m:rPr>
              <m:sty m:val="p"/>
            </m:rPr>
            <m:t>.</m:t>
          </m:r>
        </m:oMath>
      </m:oMathPara>
    </w:p>
    <w:p>
      <w:pPr>
        <w:pStyle w:val="FirstParagraph"/>
        <w:spacing w:before="120" w:after="120"/>
        <w:ind w:firstLine="0"/>
        <w:jc w:val="center"/>
      </w:pPr>
      <w:r>
        <w:t xml:space="preserve">因此，在双通道情况下，Blind Nulling可以非常直观地理解为：首先通过协方差统计和特征值分解估计干扰在两个通道上的复数幅相比</w:t>
      </w:r>
      <w:r>
        <w:t xml:space="preserve"> </w:t>
      </w:r>
      <m:oMath>
        <m:sSub>
          <m:e>
            <m:r>
              <m:t>v</m:t>
            </m:r>
          </m:e>
          <m:sub>
            <m:r>
              <m:t>1</m:t>
            </m:r>
          </m:sub>
        </m:sSub>
        <m:r>
          <m:rPr>
            <m:sty m:val="p"/>
          </m:rPr>
          <m:t>/</m:t>
        </m:r>
        <m:sSub>
          <m:e>
            <m:r>
              <m:t>v</m:t>
            </m:r>
          </m:e>
          <m:sub>
            <m:r>
              <m:t>2</m:t>
            </m:r>
          </m:sub>
        </m:sSub>
      </m:oMath>
      <w:r>
        <w:t xml:space="preserve">，随后利用第二通道生成参考通道干扰的反相副本，并将其从参考通道中抵消。多通道Blind Nulling则是该复数相消思想在更高维通道空间中的推广。</w:t>
      </w:r>
    </w:p>
    <w:bookmarkEnd w:id="27"/>
    <w:bookmarkStart w:id="28" w:name="对gnss信号的影响与适用条件"/>
    <w:p>
      <w:pPr>
        <w:pStyle w:val="Heading2"/>
      </w:pPr>
      <w:r>
        <w:rPr>
          <w:rFonts w:ascii="Times New Roman" w:hAnsi="Times New Roman" w:eastAsia="宋体"/>
          <w:b/>
          <w:color w:val="000000"/>
          <w:sz w:val="28"/>
        </w:rPr>
        <w:t xml:space="preserve">对GNSS信号的影响与适用条件</w:t>
      </w:r>
    </w:p>
    <w:p>
      <w:pPr>
        <w:pStyle w:val="FirstParagraph"/>
        <w:spacing w:before="120" w:after="120"/>
        <w:ind w:firstLine="0"/>
        <w:jc w:val="center"/>
      </w:pPr>
      <w:r>
        <w:t xml:space="preserve">GNSS信号本身同样具有跨天线空间相干结构。对于第</w:t>
      </w:r>
      <w:r>
        <w:t xml:space="preserve"> </w:t>
      </w:r>
      <m:oMath>
        <m:r>
          <m:t>k</m:t>
        </m:r>
      </m:oMath>
      <w:r>
        <w:t xml:space="preserve"> </w:t>
      </w:r>
      <w:r>
        <w:t xml:space="preserve">颗卫星，其空间协方差贡献可表示为</w:t>
      </w:r>
    </w:p>
    <w:p>
      <w:pPr>
        <w:pStyle w:val="BodyText"/>
        <w:spacing w:before="120" w:after="120"/>
        <w:ind w:firstLine="0"/>
        <w:jc w:val="center"/>
      </w:pPr>
      <m:oMathPara>
        <m:oMathParaPr>
          <m:jc m:val="center"/>
        </m:oMathParaPr>
        <m:oMath>
          <m:sSub>
            <m:e>
              <m:r>
                <m:rPr>
                  <m:sty m:val="b"/>
                </m:rPr>
                <m:t>R</m:t>
              </m:r>
            </m:e>
            <m:sub>
              <m:r>
                <m:t>s</m:t>
              </m:r>
              <m:r>
                <m:rPr>
                  <m:sty m:val="p"/>
                </m:rPr>
                <m:t>,</m:t>
              </m:r>
              <m:r>
                <m:t>k</m:t>
              </m:r>
            </m:sub>
          </m:sSub>
          <m:r>
            <m:rPr>
              <m:sty m:val="p"/>
            </m:rPr>
            <m:t>=</m:t>
          </m:r>
          <m:sSub>
            <m:e>
              <m:r>
                <m:t>P</m:t>
              </m:r>
            </m:e>
            <m:sub>
              <m:r>
                <m:t>s</m:t>
              </m:r>
              <m:r>
                <m:rPr>
                  <m:sty m:val="p"/>
                </m:rPr>
                <m:t>,</m:t>
              </m:r>
              <m:r>
                <m:t>k</m:t>
              </m:r>
            </m:sub>
          </m:sSub>
          <m:sSub>
            <m:e>
              <m:r>
                <m:rPr>
                  <m:sty m:val="b"/>
                </m:rPr>
                <m:t>a</m:t>
              </m:r>
            </m:e>
            <m:sub>
              <m:r>
                <m:t>s</m:t>
              </m:r>
              <m:r>
                <m:rPr>
                  <m:sty m:val="p"/>
                </m:rPr>
                <m:t>,</m:t>
              </m:r>
              <m:r>
                <m:t>k</m:t>
              </m:r>
            </m:sub>
          </m:sSub>
          <m:sSubSup>
            <m:e>
              <m:r>
                <m:rPr>
                  <m:sty m:val="b"/>
                </m:rPr>
                <m:t>a</m:t>
              </m:r>
            </m:e>
            <m:sub>
              <m:r>
                <m:t>s</m:t>
              </m:r>
              <m:r>
                <m:rPr>
                  <m:sty m:val="p"/>
                </m:rPr>
                <m:t>,</m:t>
              </m:r>
              <m:r>
                <m:t>k</m:t>
              </m:r>
            </m:sub>
            <m:sup>
              <m:r>
                <m:t>H</m:t>
              </m:r>
            </m:sup>
          </m:sSubSup>
          <m:r>
            <m:rPr>
              <m:sty m:val="p"/>
            </m:rPr>
            <m:t>.</m:t>
          </m:r>
        </m:oMath>
      </m:oMathPara>
    </w:p>
    <w:p>
      <w:pPr>
        <w:pStyle w:val="FirstParagraph"/>
      </w:pPr>
      <w:r>
        <w:rPr>
          <w:rFonts w:ascii="Times New Roman" w:hAnsi="Times New Roman" w:eastAsia="宋体"/>
          <w:color w:val="000000"/>
          <w:sz w:val="24"/>
        </w:rPr>
        <w:t xml:space="preserve">因此，从严格的数学形式看，GNSS信号和单个空间干扰都可以形成秩1结构。Blind Nulling能够在原始IQ阶段主要检测到强干扰而不是正常GNSS信号，依赖于未经解扩的GNSS信号功率通常远低于热噪声功率，即</w:t>
      </w:r>
    </w:p>
    <w:p>
      <w:pPr>
        <w:pStyle w:val="BodyText"/>
        <w:spacing w:before="120" w:after="120"/>
        <w:ind w:firstLine="0"/>
        <w:jc w:val="center"/>
      </w:pPr>
      <m:oMathPara>
        <m:oMathParaPr>
          <m:jc m:val="center"/>
        </m:oMathParaPr>
        <m:oMath>
          <m:sSub>
            <m:e>
              <m:r>
                <m:t>P</m:t>
              </m:r>
            </m:e>
            <m:sub>
              <m:r>
                <m:t>s</m:t>
              </m:r>
              <m:r>
                <m:rPr>
                  <m:sty m:val="p"/>
                </m:rPr>
                <m:t>,</m:t>
              </m:r>
              <m:r>
                <m:t>k</m:t>
              </m:r>
            </m:sub>
          </m:sSub>
          <m:r>
            <m:rPr>
              <m:sty m:val="p"/>
            </m:rPr>
            <m:t>≪</m:t>
          </m:r>
          <m:sSubSup>
            <m:e>
              <m:r>
                <m:t>σ</m:t>
              </m:r>
            </m:e>
            <m:sub>
              <m:r>
                <m:t>n</m:t>
              </m:r>
            </m:sub>
            <m:sup>
              <m:r>
                <m:t>2</m:t>
              </m:r>
            </m:sup>
          </m:sSubSup>
          <m:r>
            <m:rPr>
              <m:sty m:val="p"/>
            </m:rPr>
            <m:t>.</m:t>
          </m:r>
        </m:oMath>
      </m:oMathPara>
    </w:p>
    <w:p>
      <w:pPr>
        <w:pStyle w:val="FirstParagraph"/>
      </w:pPr>
      <w:r>
        <w:rPr>
          <w:rFonts w:ascii="Times New Roman" w:hAnsi="Times New Roman" w:eastAsia="宋体"/>
          <w:color w:val="000000"/>
          <w:sz w:val="24"/>
        </w:rPr>
        <w:t xml:space="preserve">在多颗卫星同时存在时，总输入协方差可表示为</w:t>
      </w:r>
    </w:p>
    <w:p>
      <w:pPr>
        <w:pStyle w:val="BodyText"/>
        <w:spacing w:before="120" w:after="120"/>
        <w:ind w:firstLine="0"/>
        <w:jc w:val="center"/>
      </w:pPr>
      <m:oMathPara>
        <m:oMathParaPr>
          <m:jc m:val="center"/>
        </m:oMathParaPr>
        <m:oMath>
          <m:sSub>
            <m:e>
              <m:r>
                <m:rPr>
                  <m:sty m:val="b"/>
                </m:rPr>
                <m:t>R</m:t>
              </m:r>
            </m:e>
            <m:sub>
              <m:r>
                <m:t>x</m:t>
              </m:r>
            </m:sub>
          </m:sSub>
          <m:r>
            <m:rPr>
              <m:sty m:val="p"/>
            </m:rPr>
            <m:t>=</m:t>
          </m:r>
          <m:nary>
            <m:naryPr>
              <m:chr m:val="∑"/>
              <m:limLoc m:val="undOvr"/>
              <m:subHide m:val="off"/>
              <m:supHide m:val="off"/>
            </m:naryPr>
            <m:sub>
              <m:r>
                <m:t>k</m:t>
              </m:r>
              <m:r>
                <m:rPr>
                  <m:sty m:val="p"/>
                </m:rPr>
                <m:t>=</m:t>
              </m:r>
              <m:r>
                <m:t>1</m:t>
              </m:r>
            </m:sub>
            <m:sup>
              <m:r>
                <m:t>K</m:t>
              </m:r>
            </m:sup>
            <m:e>
              <m:sSub>
                <m:e>
                  <m:r>
                    <m:t>P</m:t>
                  </m:r>
                </m:e>
                <m:sub>
                  <m:r>
                    <m:t>s</m:t>
                  </m:r>
                  <m:r>
                    <m:rPr>
                      <m:sty m:val="p"/>
                    </m:rPr>
                    <m:t>,</m:t>
                  </m:r>
                  <m:r>
                    <m:t>k</m:t>
                  </m:r>
                </m:sub>
              </m:sSub>
            </m:e>
          </m:nary>
          <m:sSub>
            <m:e>
              <m:r>
                <m:rPr>
                  <m:sty m:val="b"/>
                </m:rPr>
                <m:t>a</m:t>
              </m:r>
            </m:e>
            <m:sub>
              <m:r>
                <m:t>s</m:t>
              </m:r>
              <m:r>
                <m:rPr>
                  <m:sty m:val="p"/>
                </m:rPr>
                <m:t>,</m:t>
              </m:r>
              <m:r>
                <m:t>k</m:t>
              </m:r>
            </m:sub>
          </m:sSub>
          <m:sSubSup>
            <m:e>
              <m:r>
                <m:rPr>
                  <m:sty m:val="b"/>
                </m:rPr>
                <m:t>a</m:t>
              </m:r>
            </m:e>
            <m:sub>
              <m:r>
                <m:t>s</m:t>
              </m:r>
              <m:r>
                <m:rPr>
                  <m:sty m:val="p"/>
                </m:rPr>
                <m:t>,</m:t>
              </m:r>
              <m:r>
                <m:t>k</m:t>
              </m:r>
            </m:sub>
            <m:sup>
              <m:r>
                <m:t>H</m:t>
              </m:r>
            </m:sup>
          </m:sSubSup>
          <m:r>
            <m:rPr>
              <m:sty m:val="p"/>
            </m:rPr>
            <m:t>+</m:t>
          </m:r>
          <m:sSub>
            <m:e>
              <m:r>
                <m:rPr>
                  <m:sty m:val="b"/>
                </m:rPr>
                <m:t>R</m:t>
              </m:r>
            </m:e>
            <m:sub>
              <m:r>
                <m:t>n</m:t>
              </m:r>
            </m:sub>
          </m:sSub>
          <m:r>
            <m:rPr>
              <m:sty m:val="p"/>
            </m:rPr>
            <m:t>+</m:t>
          </m:r>
          <m:sSub>
            <m:e>
              <m:r>
                <m:rPr>
                  <m:sty m:val="b"/>
                </m:rPr>
                <m:t>R</m:t>
              </m:r>
            </m:e>
            <m:sub>
              <m:r>
                <m:t>J</m:t>
              </m:r>
            </m:sub>
          </m:sSub>
          <m:r>
            <m:rPr>
              <m:sty m:val="p"/>
            </m:rPr>
            <m:t>.</m:t>
          </m:r>
        </m:oMath>
      </m:oMathPara>
    </w:p>
    <w:p>
      <w:pPr>
        <w:pStyle w:val="FirstParagraph"/>
      </w:pPr>
      <w:r>
        <w:rPr>
          <w:rFonts w:ascii="Times New Roman" w:hAnsi="Times New Roman" w:eastAsia="宋体"/>
          <w:color w:val="000000"/>
          <w:sz w:val="24"/>
        </w:rPr>
        <w:t xml:space="preserve">由于各颗卫星功率均较低，同时具有不同PRN码、多普勒和空间来向，其在短时原始IQ协方差中的空间结构通常不会形成显著的单一主特征值；而高功率相干干扰则可能主导相关矩阵，从而被特征值检测器识别出来。</w:t>
      </w:r>
    </w:p>
    <w:p>
      <w:pPr>
        <w:pStyle w:val="BodyText"/>
      </w:pPr>
      <w:r>
        <w:rPr>
          <w:rFonts w:ascii="Times New Roman" w:hAnsi="Times New Roman" w:eastAsia="宋体"/>
          <w:color w:val="000000"/>
          <w:sz w:val="24"/>
        </w:rPr>
        <w:t xml:space="preserve">需要指出的是，Blind Nulling的权值约束为</w:t>
      </w:r>
    </w:p>
    <w:p>
      <w:pPr>
        <w:pStyle w:val="BodyText"/>
        <w:spacing w:before="120" w:after="120"/>
        <w:ind w:firstLine="0"/>
        <w:jc w:val="center"/>
      </w:pPr>
      <m:oMathPara>
        <m:oMathParaPr>
          <m:jc m:val="center"/>
        </m:oMathParaPr>
        <m:oMath>
          <m:sSup>
            <m:e>
              <m:r>
                <m:rPr>
                  <m:sty m:val="b"/>
                </m:rPr>
                <m:t>w</m:t>
              </m:r>
            </m:e>
            <m:sup>
              <m:r>
                <m:t>H</m:t>
              </m:r>
            </m:sup>
          </m:sSup>
          <m:sSub>
            <m:e>
              <m:r>
                <m:rPr>
                  <m:sty m:val="b"/>
                </m:rPr>
                <m:t>v</m:t>
              </m:r>
            </m:e>
            <m:sub>
              <m:r>
                <m:t>J</m:t>
              </m:r>
            </m:sub>
          </m:sSub>
          <m:r>
            <m:rPr>
              <m:sty m:val="p"/>
            </m:rPr>
            <m:t>=</m:t>
          </m:r>
          <m:r>
            <m:t>0</m:t>
          </m:r>
          <m:r>
            <m:rPr>
              <m:sty m:val="p"/>
            </m:rPr>
            <m:t>,</m:t>
          </m:r>
        </m:oMath>
      </m:oMathPara>
    </w:p>
    <w:p>
      <w:pPr>
        <w:pStyle w:val="FirstParagraph"/>
      </w:pPr>
      <w:r>
        <w:rPr>
          <w:rFonts w:ascii="Times New Roman" w:hAnsi="Times New Roman" w:eastAsia="宋体"/>
          <w:color w:val="000000"/>
          <w:sz w:val="24"/>
        </w:rPr>
        <w:t xml:space="preserve">以及参考通道单位响应约束，而没有显式施加</w:t>
      </w:r>
    </w:p>
    <w:p>
      <w:pPr>
        <w:pStyle w:val="BodyText"/>
        <w:spacing w:before="120" w:after="120"/>
        <w:ind w:firstLine="0"/>
        <w:jc w:val="center"/>
      </w:pPr>
      <m:oMathPara>
        <m:oMathParaPr>
          <m:jc m:val="center"/>
        </m:oMathParaPr>
        <m:oMath>
          <m:sSup>
            <m:e>
              <m:r>
                <m:rPr>
                  <m:sty m:val="b"/>
                </m:rPr>
                <m:t>w</m:t>
              </m:r>
            </m:e>
            <m:sup>
              <m:r>
                <m:t>H</m:t>
              </m:r>
            </m:sup>
          </m:sSup>
          <m:sSub>
            <m:e>
              <m:r>
                <m:rPr>
                  <m:sty m:val="b"/>
                </m:rPr>
                <m:t>a</m:t>
              </m:r>
            </m:e>
            <m:sub>
              <m:r>
                <m:t>s</m:t>
              </m:r>
              <m:r>
                <m:rPr>
                  <m:sty m:val="p"/>
                </m:rPr>
                <m:t>,</m:t>
              </m:r>
              <m:r>
                <m:t>k</m:t>
              </m:r>
            </m:sub>
          </m:sSub>
          <m:r>
            <m:rPr>
              <m:sty m:val="p"/>
            </m:rPr>
            <m:t>=</m:t>
          </m:r>
          <m:r>
            <m:t>1</m:t>
          </m:r>
          <m:r>
            <m:rPr>
              <m:sty m:val="p"/>
            </m:rPr>
            <m:t>.</m:t>
          </m:r>
        </m:oMath>
      </m:oMathPara>
    </w:p>
    <w:p>
      <w:pPr>
        <w:pStyle w:val="FirstParagraph"/>
        <w:spacing w:before="120" w:after="120"/>
        <w:ind w:firstLine="0"/>
        <w:jc w:val="center"/>
      </w:pPr>
      <w:r>
        <w:t xml:space="preserve">因此，该方法不能保证所有GNSS卫星信号在合并后均保持原始幅度。第</w:t>
      </w:r>
      <w:r>
        <w:t xml:space="preserve"> </w:t>
      </w:r>
      <m:oMath>
        <m:r>
          <m:t>k</m:t>
        </m:r>
      </m:oMath>
      <w:r>
        <w:t xml:space="preserve"> </w:t>
      </w:r>
      <w:r>
        <w:t xml:space="preserve">颗卫星的实际空间复增益为</w:t>
      </w:r>
    </w:p>
    <w:p>
      <w:pPr>
        <w:pStyle w:val="BodyText"/>
        <w:spacing w:before="120" w:after="120"/>
        <w:ind w:firstLine="0"/>
        <w:jc w:val="center"/>
      </w:pPr>
      <m:oMathPara>
        <m:oMathParaPr>
          <m:jc m:val="center"/>
        </m:oMathParaPr>
        <m:oMath>
          <m:sSub>
            <m:e>
              <m:r>
                <m:t>G</m:t>
              </m:r>
            </m:e>
            <m:sub>
              <m:r>
                <m:t>k</m:t>
              </m:r>
            </m:sub>
          </m:sSub>
          <m:r>
            <m:rPr>
              <m:sty m:val="p"/>
            </m:rPr>
            <m:t>=</m:t>
          </m:r>
          <m:sSup>
            <m:e>
              <m:r>
                <m:rPr>
                  <m:sty m:val="b"/>
                </m:rPr>
                <m:t>w</m:t>
              </m:r>
            </m:e>
            <m:sup>
              <m:r>
                <m:t>H</m:t>
              </m:r>
            </m:sup>
          </m:sSup>
          <m:sSub>
            <m:e>
              <m:r>
                <m:rPr>
                  <m:sty m:val="b"/>
                </m:rPr>
                <m:t>a</m:t>
              </m:r>
            </m:e>
            <m:sub>
              <m:r>
                <m:t>s</m:t>
              </m:r>
              <m:r>
                <m:rPr>
                  <m:sty m:val="p"/>
                </m:rPr>
                <m:t>,</m:t>
              </m:r>
              <m:r>
                <m:t>k</m:t>
              </m:r>
            </m:sub>
          </m:sSub>
          <m:r>
            <m:rPr>
              <m:sty m:val="p"/>
            </m:rPr>
            <m:t>.</m:t>
          </m:r>
        </m:oMath>
      </m:oMathPara>
    </w:p>
    <w:p>
      <w:pPr>
        <w:pStyle w:val="FirstParagraph"/>
      </w:pPr>
      <w:r>
        <w:rPr>
          <w:rFonts w:ascii="Times New Roman" w:hAnsi="Times New Roman" w:eastAsia="宋体"/>
          <w:color w:val="000000"/>
          <w:sz w:val="24"/>
        </w:rPr>
        <w:t xml:space="preserve">不同卫星由于空间向量不同，其合并增益也不同。某些卫星可能得到一定增强，某些卫星可能出现衰减；若某颗卫星的空间向量与干扰空间向量较为接近，则可能受到较明显的抑制。因此，Blind Nulling更适合作为强干扰条件下的前端生存型处理，其主要目标是优先降低干扰功率，使后级捕获和跟踪模块能够恢复工作，而不是对各颗GNSS卫星实现严格的无失真保护。</w:t>
      </w:r>
    </w:p>
    <w:bookmarkEnd w:id="28"/>
    <w:bookmarkStart w:id="29" w:name="噪声增强与数值稳定性"/>
    <w:p>
      <w:pPr>
        <w:pStyle w:val="Heading2"/>
      </w:pPr>
      <w:r>
        <w:rPr>
          <w:rFonts w:ascii="Times New Roman" w:hAnsi="Times New Roman" w:eastAsia="宋体"/>
          <w:b/>
          <w:color w:val="000000"/>
          <w:sz w:val="28"/>
        </w:rPr>
        <w:t xml:space="preserve">噪声增强与数值稳定性</w:t>
      </w:r>
    </w:p>
    <w:p>
      <w:pPr>
        <w:pStyle w:val="FirstParagraph"/>
      </w:pPr>
      <w:r>
        <w:rPr>
          <w:rFonts w:ascii="Times New Roman" w:hAnsi="Times New Roman" w:eastAsia="宋体"/>
          <w:color w:val="000000"/>
          <w:sz w:val="24"/>
        </w:rPr>
        <w:t xml:space="preserve">零陷抑制并非没有代价。由</w:t>
      </w:r>
    </w:p>
    <w:p>
      <w:pPr>
        <w:pStyle w:val="BodyText"/>
        <w:spacing w:before="120" w:after="120"/>
        <w:ind w:firstLine="0"/>
        <w:jc w:val="center"/>
      </w:pPr>
      <m:oMathPara>
        <m:oMathParaPr>
          <m:jc m:val="center"/>
        </m:oMathParaPr>
        <m:oMath>
          <m:r>
            <m:rPr>
              <m:sty m:val="b"/>
            </m:rPr>
            <m:t>w</m:t>
          </m:r>
          <m:r>
            <m:rPr>
              <m:sty m:val="p"/>
            </m:rPr>
            <m:t>=</m:t>
          </m:r>
          <m:f>
            <m:fPr>
              <m:type m:val="bar"/>
            </m:fPr>
            <m:num>
              <m:sSub>
                <m:e>
                  <m:r>
                    <m:rPr>
                      <m:sty m:val="b"/>
                    </m:rPr>
                    <m:t>P</m:t>
                  </m:r>
                </m:e>
                <m:sub>
                  <m:r>
                    <m:rPr>
                      <m:sty m:val="p"/>
                    </m:rPr>
                    <m:t>⊥</m:t>
                  </m:r>
                </m:sub>
              </m:sSub>
              <m:sSub>
                <m:e>
                  <m:r>
                    <m:rPr>
                      <m:sty m:val="b"/>
                    </m:rPr>
                    <m:t>e</m:t>
                  </m:r>
                </m:e>
                <m:sub>
                  <m:r>
                    <m:t>r</m:t>
                  </m:r>
                </m:sub>
              </m:sSub>
            </m:num>
            <m:den>
              <m:r>
                <m:t>γ</m:t>
              </m:r>
            </m:den>
          </m:f>
        </m:oMath>
      </m:oMathPara>
    </w:p>
    <w:p>
      <w:pPr>
        <w:pStyle w:val="FirstParagraph"/>
      </w:pPr>
      <w:r>
        <w:rPr>
          <w:rFonts w:ascii="Times New Roman" w:hAnsi="Times New Roman" w:eastAsia="宋体"/>
          <w:color w:val="000000"/>
          <w:sz w:val="24"/>
        </w:rPr>
        <w:t xml:space="preserve">可得</w:t>
      </w:r>
    </w:p>
    <w:p>
      <w:pPr>
        <w:pStyle w:val="BodyText"/>
        <w:spacing w:before="120" w:after="120"/>
        <w:ind w:firstLine="0"/>
        <w:jc w:val="center"/>
      </w:pPr>
      <m:oMathPara>
        <m:oMathParaPr>
          <m:jc m:val="center"/>
        </m:oMathParaPr>
        <m:oMath>
          <m:r>
            <m:rPr>
              <m:sty m:val="p"/>
            </m:rPr>
            <m:t>∥</m:t>
          </m:r>
          <m:r>
            <m:rPr>
              <m:sty m:val="b"/>
            </m:rPr>
            <m:t>w</m:t>
          </m:r>
          <m:sSubSup>
            <m:e>
              <m:r>
                <m:rPr>
                  <m:sty m:val="p"/>
                </m:rPr>
                <m:t>∥</m:t>
              </m:r>
            </m:e>
            <m:sub>
              <m:r>
                <m:t>2</m:t>
              </m:r>
            </m:sub>
            <m:sup>
              <m:r>
                <m:t>2</m:t>
              </m:r>
            </m:sup>
          </m:sSubSup>
          <m:r>
            <m:rPr>
              <m:sty m:val="p"/>
            </m:rPr>
            <m:t>=</m:t>
          </m:r>
          <m:f>
            <m:fPr>
              <m:type m:val="bar"/>
            </m:fPr>
            <m:num>
              <m:r>
                <m:t>1</m:t>
              </m:r>
            </m:num>
            <m:den>
              <m:r>
                <m:t>γ</m:t>
              </m:r>
            </m:den>
          </m:f>
          <m:r>
            <m:rPr>
              <m:sty m:val="p"/>
            </m:rPr>
            <m:t>.</m:t>
          </m:r>
        </m:oMath>
      </m:oMathPara>
    </w:p>
    <w:p>
      <w:pPr>
        <w:pStyle w:val="FirstParagraph"/>
        <w:spacing w:before="120" w:after="120"/>
        <w:ind w:firstLine="0"/>
        <w:jc w:val="center"/>
      </w:pPr>
      <w:r>
        <w:t xml:space="preserve">若各通道噪声独立且具有相同功率</w:t>
      </w:r>
      <w:r>
        <w:t xml:space="preserve"> </w:t>
      </w:r>
      <m:oMath>
        <m:sSubSup>
          <m:e>
            <m:r>
              <m:t>σ</m:t>
            </m:r>
          </m:e>
          <m:sub>
            <m:r>
              <m:t>n</m:t>
            </m:r>
          </m:sub>
          <m:sup>
            <m:r>
              <m:t>2</m:t>
            </m:r>
          </m:sup>
        </m:sSubSup>
      </m:oMath>
      <w:r>
        <w:t xml:space="preserve">，则合并后的输出噪声功率约为</w:t>
      </w:r>
    </w:p>
    <w:p>
      <w:pPr>
        <w:pStyle w:val="BodyText"/>
        <w:spacing w:before="120" w:after="120"/>
        <w:ind w:firstLine="0"/>
        <w:jc w:val="center"/>
      </w:pPr>
      <m:oMathPara>
        <m:oMathParaPr>
          <m:jc m:val="center"/>
        </m:oMathParaPr>
        <m:oMath>
          <m:sSub>
            <m:e>
              <m:r>
                <m:t>P</m:t>
              </m:r>
            </m:e>
            <m:sub>
              <m:r>
                <m:t>n</m:t>
              </m:r>
              <m:r>
                <m:rPr>
                  <m:sty m:val="p"/>
                </m:rPr>
                <m:t>,</m:t>
              </m:r>
              <m:r>
                <m:rPr>
                  <m:sty m:val="p"/>
                </m:rPr>
                <m:t>o</m:t>
              </m:r>
              <m:r>
                <m:rPr>
                  <m:sty m:val="p"/>
                </m:rPr>
                <m:t>u</m:t>
              </m:r>
              <m:r>
                <m:rPr>
                  <m:sty m:val="p"/>
                </m:rPr>
                <m:t>t</m:t>
              </m:r>
            </m:sub>
          </m:sSub>
          <m:r>
            <m:rPr>
              <m:sty m:val="p"/>
            </m:rPr>
            <m:t>=</m:t>
          </m:r>
          <m:sSubSup>
            <m:e>
              <m:r>
                <m:t>σ</m:t>
              </m:r>
            </m:e>
            <m:sub>
              <m:r>
                <m:t>n</m:t>
              </m:r>
            </m:sub>
            <m:sup>
              <m:r>
                <m:t>2</m:t>
              </m:r>
            </m:sup>
          </m:sSubSup>
          <m:r>
            <m:rPr>
              <m:sty m:val="p"/>
            </m:rPr>
            <m:t>∥</m:t>
          </m:r>
          <m:r>
            <m:rPr>
              <m:sty m:val="b"/>
            </m:rPr>
            <m:t>w</m:t>
          </m:r>
          <m:sSubSup>
            <m:e>
              <m:r>
                <m:rPr>
                  <m:sty m:val="p"/>
                </m:rPr>
                <m:t>∥</m:t>
              </m:r>
            </m:e>
            <m:sub>
              <m:r>
                <m:t>2</m:t>
              </m:r>
            </m:sub>
            <m:sup>
              <m:r>
                <m:t>2</m:t>
              </m:r>
            </m:sup>
          </m:sSubSup>
          <m:r>
            <m:rPr>
              <m:sty m:val="p"/>
            </m:rPr>
            <m:t>=</m:t>
          </m:r>
          <m:f>
            <m:fPr>
              <m:type m:val="bar"/>
            </m:fPr>
            <m:num>
              <m:sSubSup>
                <m:e>
                  <m:r>
                    <m:t>σ</m:t>
                  </m:r>
                </m:e>
                <m:sub>
                  <m:r>
                    <m:t>n</m:t>
                  </m:r>
                </m:sub>
                <m:sup>
                  <m:r>
                    <m:t>2</m:t>
                  </m:r>
                </m:sup>
              </m:sSubSup>
            </m:num>
            <m:den>
              <m:r>
                <m:t>γ</m:t>
              </m:r>
            </m:den>
          </m:f>
          <m:r>
            <m:rPr>
              <m:sty m:val="p"/>
            </m:rPr>
            <m:t>.</m:t>
          </m:r>
        </m:oMath>
      </m:oMathPara>
    </w:p>
    <w:p>
      <w:pPr>
        <w:pStyle w:val="FirstParagraph"/>
        <w:spacing w:before="120" w:after="120"/>
        <w:ind w:firstLine="0"/>
        <w:jc w:val="center"/>
      </w:pPr>
      <w:r>
        <w:t xml:space="preserve">因此，当</w:t>
      </w:r>
      <w:r>
        <w:t xml:space="preserve"> </w:t>
      </w:r>
      <m:oMath>
        <m:r>
          <m:t>γ</m:t>
        </m:r>
      </m:oMath>
      <w:r>
        <w:t xml:space="preserve"> </w:t>
      </w:r>
      <w:r>
        <w:t xml:space="preserve">较小时，虽然仍可构造理论零陷，但需要对辅助通道施加较大的复数权重，从而显著放大辅助通道中的独立热噪声。对于双通道且干扰在两个通道中等功率分布的理想情形，有</w:t>
      </w:r>
      <w:r>
        <w:t xml:space="preserve"> </w:t>
      </w:r>
      <m:oMath>
        <m:r>
          <m:t>γ</m:t>
        </m:r>
        <m:r>
          <m:rPr>
            <m:sty m:val="p"/>
          </m:rPr>
          <m:t>=</m:t>
        </m:r>
        <m:r>
          <m:t>1</m:t>
        </m:r>
        <m:r>
          <m:rPr>
            <m:sty m:val="p"/>
          </m:rPr>
          <m:t>/</m:t>
        </m:r>
        <m:r>
          <m:t>2</m:t>
        </m:r>
      </m:oMath>
      <w:r>
        <w:t xml:space="preserve">，对应白噪声功率约增加3 dB。</w:t>
      </w:r>
    </w:p>
    <w:p>
      <w:pPr>
        <w:pStyle w:val="BodyText"/>
        <w:spacing w:before="120" w:after="120"/>
        <w:ind w:firstLine="0"/>
        <w:jc w:val="center"/>
      </w:pPr>
      <w:r>
        <w:t xml:space="preserve">当</w:t>
      </w:r>
      <w:r>
        <w:t xml:space="preserve"> </w:t>
      </w:r>
      <m:oMath>
        <m:r>
          <m:t>γ</m:t>
        </m:r>
        <m:r>
          <m:rPr>
            <m:sty m:val="p"/>
          </m:rPr>
          <m:t>→</m:t>
        </m:r>
        <m:r>
          <m:t>0</m:t>
        </m:r>
      </m:oMath>
      <w:r>
        <w:t xml:space="preserve"> </w:t>
      </w:r>
      <w:r>
        <w:t xml:space="preserve">时，权值范数趋于无穷大，说明参考通道中的干扰几乎无法由其余通道提供的干扰副本稳定抵消。因此实际实现中应设置最小</w:t>
      </w:r>
      <w:r>
        <w:t xml:space="preserve"> </w:t>
      </w:r>
      <m:oMath>
        <m:r>
          <m:t>γ</m:t>
        </m:r>
      </m:oMath>
      <w:r>
        <w:t xml:space="preserve"> </w:t>
      </w:r>
      <w:r>
        <w:t xml:space="preserve">阈值或最大权值范数限制，以避免数值发散和过度噪声增强。</w:t>
      </w:r>
    </w:p>
    <w:p>
      <w:pPr>
        <w:pStyle w:val="BodyText"/>
      </w:pPr>
      <w:r>
        <w:rPr>
          <w:rFonts w:ascii="Times New Roman" w:hAnsi="Times New Roman" w:eastAsia="宋体"/>
          <w:color w:val="000000"/>
          <w:sz w:val="24"/>
        </w:rPr>
        <w:t xml:space="preserve">此外，样本协方差矩阵由有限快拍估计得到。快拍数过少时，随机噪声会使协方差估计和主特征向量产生较大波动；快拍数过大时，又可能无法及时跟踪终端姿态、干扰来向或传播环境的变化。因此协方差统计窗口需要在估计稳定性和动态跟踪能力之间进行折中。</w:t>
      </w:r>
    </w:p>
    <w:p>
      <w:pPr>
        <w:pStyle w:val="BodyText"/>
        <w:spacing w:before="120" w:after="120"/>
        <w:ind w:firstLine="0"/>
        <w:jc w:val="center"/>
      </w:pPr>
      <w:r>
        <w:t xml:space="preserve">对于多个相互独立的强干扰源，干扰协方差不再表现为单一秩1结构，此时可能同时出现多个显著特征值。若将对应的</w:t>
      </w:r>
      <w:r>
        <w:t xml:space="preserve"> </w:t>
      </w:r>
      <m:oMath>
        <m:r>
          <m:t>L</m:t>
        </m:r>
      </m:oMath>
      <w:r>
        <w:t xml:space="preserve"> </w:t>
      </w:r>
      <w:r>
        <w:t xml:space="preserve">个主特征向量组成干扰子空间矩阵</w:t>
      </w:r>
    </w:p>
    <w:p>
      <w:pPr>
        <w:pStyle w:val="BodyText"/>
        <w:spacing w:before="120" w:after="120"/>
        <w:ind w:firstLine="0"/>
        <w:jc w:val="center"/>
      </w:pPr>
      <m:oMathPara>
        <m:oMathParaPr>
          <m:jc m:val="center"/>
        </m:oMathParaPr>
        <m:oMath>
          <m:sSub>
            <m:e>
              <m:r>
                <m:rPr>
                  <m:sty m:val="b"/>
                </m:rPr>
                <m:t>U</m:t>
              </m:r>
            </m:e>
            <m:sub>
              <m:r>
                <m:t>J</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rPr>
                            <m:sty m:val="b"/>
                          </m:rPr>
                          <m:t>u</m:t>
                        </m:r>
                      </m:e>
                      <m:sub>
                        <m:r>
                          <m:t>1</m:t>
                        </m:r>
                      </m:sub>
                    </m:sSub>
                  </m:e>
                  <m:e>
                    <m:sSub>
                      <m:e>
                        <m:r>
                          <m:rPr>
                            <m:sty m:val="b"/>
                          </m:rPr>
                          <m:t>u</m:t>
                        </m:r>
                      </m:e>
                      <m:sub>
                        <m:r>
                          <m:t>2</m:t>
                        </m:r>
                      </m:sub>
                    </m:sSub>
                  </m:e>
                  <m:e>
                    <m:r>
                      <m:rPr>
                        <m:sty m:val="p"/>
                      </m:rPr>
                      <m:t>⋯</m:t>
                    </m:r>
                  </m:e>
                  <m:e>
                    <m:sSub>
                      <m:e>
                        <m:r>
                          <m:rPr>
                            <m:sty m:val="b"/>
                          </m:rPr>
                          <m:t>u</m:t>
                        </m:r>
                      </m:e>
                      <m:sub>
                        <m:r>
                          <m:t>L</m:t>
                        </m:r>
                      </m:sub>
                    </m:sSub>
                  </m:e>
                </m:mr>
              </m:m>
            </m:e>
          </m:d>
          <m:r>
            <m:rPr>
              <m:sty m:val="p"/>
            </m:rPr>
            <m:t>,</m:t>
          </m:r>
        </m:oMath>
      </m:oMathPara>
    </w:p>
    <w:p>
      <w:pPr>
        <w:pStyle w:val="FirstParagraph"/>
      </w:pPr>
      <w:r>
        <w:rPr>
          <w:rFonts w:ascii="Times New Roman" w:hAnsi="Times New Roman" w:eastAsia="宋体"/>
          <w:color w:val="000000"/>
          <w:sz w:val="24"/>
        </w:rPr>
        <w:t xml:space="preserve">则可将正交补投影推广为</w:t>
      </w:r>
    </w:p>
    <w:p>
      <w:pPr>
        <w:pStyle w:val="BodyText"/>
        <w:spacing w:before="120" w:after="120"/>
        <w:ind w:firstLine="0"/>
        <w:jc w:val="center"/>
      </w:pPr>
      <m:oMathPara>
        <m:oMathParaPr>
          <m:jc m:val="center"/>
        </m:oMathParaPr>
        <m:oMath>
          <m:sSub>
            <m:e>
              <m:r>
                <m:rPr>
                  <m:sty m:val="b"/>
                </m:rPr>
                <m:t>P</m:t>
              </m:r>
            </m:e>
            <m:sub>
              <m:r>
                <m:rPr>
                  <m:sty m:val="p"/>
                </m:rPr>
                <m:t>⊥</m:t>
              </m:r>
            </m:sub>
          </m:sSub>
          <m:r>
            <m:rPr>
              <m:sty m:val="p"/>
            </m:rPr>
            <m:t>=</m:t>
          </m:r>
          <m:r>
            <m:rPr>
              <m:sty m:val="b"/>
            </m:rPr>
            <m:t>I</m:t>
          </m:r>
          <m:r>
            <m:rPr>
              <m:sty m:val="p"/>
            </m:rPr>
            <m:t>−</m:t>
          </m:r>
          <m:sSub>
            <m:e>
              <m:r>
                <m:rPr>
                  <m:sty m:val="b"/>
                </m:rPr>
                <m:t>U</m:t>
              </m:r>
            </m:e>
            <m:sub>
              <m:r>
                <m:t>J</m:t>
              </m:r>
            </m:sub>
          </m:sSub>
          <m:sSubSup>
            <m:e>
              <m:r>
                <m:rPr>
                  <m:sty m:val="b"/>
                </m:rPr>
                <m:t>U</m:t>
              </m:r>
            </m:e>
            <m:sub>
              <m:r>
                <m:t>J</m:t>
              </m:r>
            </m:sub>
            <m:sup>
              <m:r>
                <m:t>H</m:t>
              </m:r>
            </m:sup>
          </m:sSubSup>
          <m:r>
            <m:rPr>
              <m:sty m:val="p"/>
            </m:rPr>
            <m:t>.</m:t>
          </m:r>
        </m:oMath>
      </m:oMathPara>
    </w:p>
    <w:p>
      <w:pPr>
        <w:pStyle w:val="FirstParagraph"/>
        <w:spacing w:before="120" w:after="120"/>
        <w:ind w:firstLine="0"/>
        <w:jc w:val="center"/>
      </w:pPr>
      <w:r>
        <w:t xml:space="preserve">当前单主特征向量Blind Nulling可视为</w:t>
      </w:r>
      <w:r>
        <w:t xml:space="preserve"> </w:t>
      </w:r>
      <m:oMath>
        <m:r>
          <m:t>L</m:t>
        </m:r>
        <m:r>
          <m:rPr>
            <m:sty m:val="p"/>
          </m:rPr>
          <m:t>=</m:t>
        </m:r>
        <m:r>
          <m:t>1</m:t>
        </m:r>
      </m:oMath>
      <w:r>
        <w:t xml:space="preserve"> </w:t>
      </w:r>
      <w:r>
        <w:t xml:space="preserve">的特殊情况。阵列可同时抑制的独立干扰数受到天线通道数和剩余自由度限制，因此在2天线系统中通常只能稳定形成1个独立空间零陷，而增加至3～4个天线后可获得更多空间处理自由度。</w:t>
      </w:r>
    </w:p>
    <w:bookmarkEnd w:id="29"/>
    <w:bookmarkStart w:id="30" w:name="小结"/>
    <w:p>
      <w:pPr>
        <w:pStyle w:val="Heading2"/>
      </w:pPr>
      <w:r>
        <w:rPr>
          <w:rFonts w:ascii="Times New Roman" w:hAnsi="Times New Roman" w:eastAsia="宋体"/>
          <w:b/>
          <w:color w:val="000000"/>
          <w:sz w:val="28"/>
        </w:rPr>
        <w:t xml:space="preserve">小结</w:t>
      </w:r>
    </w:p>
    <w:p>
      <w:pPr>
        <w:pStyle w:val="FirstParagraph"/>
      </w:pPr>
      <w:r>
        <w:rPr>
          <w:rFonts w:ascii="Times New Roman" w:hAnsi="Times New Roman" w:eastAsia="宋体"/>
          <w:color w:val="000000"/>
          <w:sz w:val="24"/>
        </w:rPr>
        <w:t xml:space="preserve">Blind Nulling是一种基于数据统计特征的盲空间干扰抑制方法。其核心思想是利用强干扰在多天线通道间形成的稳定相干结构，通过归一化相关矩阵的特征值分解检测主导空间模态，并利用最大特征向量估计干扰空间方向；随后通过正交投影构造与干扰方向正交的合并权值，使估计干扰在输出端形成零响应。对于双通道系统，该过程最终等价于自动估计两个通道中干扰的复数幅相比，并利用辅助通道生成反相干扰副本以抵消参考通道中的干扰。</w:t>
      </w:r>
    </w:p>
    <w:p>
      <w:pPr>
        <w:pStyle w:val="BodyText"/>
      </w:pPr>
      <w:r>
        <w:rPr>
          <w:rFonts w:ascii="Times New Roman" w:hAnsi="Times New Roman" w:eastAsia="宋体"/>
          <w:color w:val="000000"/>
          <w:sz w:val="24"/>
        </w:rPr>
        <w:t xml:space="preserve">该方法不依赖干扰来向和精确阵列流形，适合复杂移动终端阵列作为强干扰条件下的前端抗干扰手段。但其本身不显式保护GNSS卫星空间方向，并存在噪声增强、有限快拍估计误差、多个干扰源下自由度受限等问题。因此在工程实现中，应结合干扰检测门限、权值范数保护、协方差时间平滑以及后级捕获跟踪性能共同评估其有效性。</w:t>
      </w:r>
    </w:p>
    <w:bookmarkEnd w:id="30"/>
    <w:bookmarkEnd w:id="31"/>
    <w:sectPr>
      <w:footerReference w:type="default" r:id="rId9"/>
      <w:pgMar w:top="1440" w:bottom="1440" w:left="1701" w:right="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360" w:lineRule="auto"/>
      <w:ind w:firstLine="420"/>
      <w:jc w:val="both"/>
    </w:pPr>
    <w:rPr>
      <w:rFonts w:ascii="Times New Roman" w:hAnsi="Times New Roman" w:eastAsia="宋体"/>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2026-09-02T04:07:12Z</dcterms:created>
  <dcterms:modified xsi:type="dcterms:W3CDTF">2026-09-02T04:07:12Z</dcterms:modified>
</cp:coreProperties>
</file>

<file path=docProps/custom.xml><?xml version="1.0" encoding="utf-8"?>
<Properties xmlns="http://schemas.openxmlformats.org/officeDocument/2006/custom-properties" xmlns:vt="http://schemas.openxmlformats.org/officeDocument/2006/docPropsVTypes"/>
</file>