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6B42F" w14:textId="77777777" w:rsidR="00824FB7" w:rsidRDefault="00EF6291">
      <w:pPr>
        <w:pStyle w:val="1"/>
        <w:numPr>
          <w:ilvl w:val="0"/>
          <w:numId w:val="1"/>
        </w:numPr>
      </w:pPr>
      <w:r>
        <w:t>抗欺骗检测与抑制方案</w:t>
      </w:r>
    </w:p>
    <w:p w14:paraId="342B2A1E" w14:textId="77777777" w:rsidR="00824FB7" w:rsidRDefault="00EF6291">
      <w:r>
        <w:t>本章面向手机尺寸终端，提出基于同步多天线的全球导航卫星系统（</w:t>
      </w:r>
      <w:r>
        <w:t>GNSS</w:t>
      </w:r>
      <w:r>
        <w:t>）抗欺骗检测、空间抑制及导航恢复方案。系统利用真实卫星与单个地面欺骗源的空间响应差异，识别多个伪随机码通道中的共同来源，抑制该来源后重新提取真实信号，并依据观测质量决定位置输出。现阶段仿真支持四天线方案进入进一步工程验证；三天线在困难几何下仍存在持续停发，尚不具备保底能力。</w:t>
      </w:r>
    </w:p>
    <w:p w14:paraId="76FB9FD4" w14:textId="77777777" w:rsidR="00824FB7" w:rsidRDefault="00EF6291">
      <w:pPr>
        <w:pStyle w:val="2"/>
        <w:numPr>
          <w:ilvl w:val="1"/>
          <w:numId w:val="1"/>
        </w:numPr>
      </w:pPr>
      <w:r>
        <w:t>建设目标与适用范围</w:t>
      </w:r>
    </w:p>
    <w:p w14:paraId="2E2F8D8A" w14:textId="77777777" w:rsidR="00824FB7" w:rsidRDefault="00EF6291">
      <w:r>
        <w:t>系统以攻击下维持可信定位为目标，优先实现数米级性能，阶段性考核采用水平误差不超过</w:t>
      </w:r>
      <w:r>
        <w:t>20 m</w:t>
      </w:r>
      <w:r>
        <w:t>；</w:t>
      </w:r>
      <w:r>
        <w:t>1 m</w:t>
      </w:r>
      <w:r>
        <w:t>以内作为后续优化目标。超过</w:t>
      </w:r>
      <w:r>
        <w:t>50 m</w:t>
      </w:r>
      <w:r>
        <w:t>的位置偏移不可接受。当真实信号不足或观测一致性无法支持导航时，系统停止发布新的有效位置并给出不可用状态。输出保护是目标降级方式，不能计作持续导航成功，也不能把停止更新的旧位置包装成当前有效位置。</w:t>
      </w:r>
    </w:p>
    <w:p w14:paraId="7155B4FB" w14:textId="77777777" w:rsidR="00824FB7" w:rsidRDefault="00EF6291">
      <w:r>
        <w:t>本阶段限定为单个物理欺骗发射源，但该发射源可以同时伪造多颗卫星的信号。研究以已完成真实信号启动和正常跟踪为前提，覆盖攻击切入、持续攻击、欺骗方向接近真实卫星、短时噪声冲击、真实信号消失及攻击撤除。冷启动攻击和多个物理欺骗源不纳入当前需求。先验证开阔室外；手持、车内和固定支架使用所引入的动态与传播效应，列入后续工程试验。</w:t>
      </w:r>
    </w:p>
    <w:p w14:paraId="000CF6D3" w14:textId="77777777" w:rsidR="00824FB7" w:rsidRDefault="00EF6291">
      <w:r>
        <w:t>阵列沿用约</w:t>
      </w:r>
      <w:r>
        <w:t>75.9 mm×160.9 mm</w:t>
      </w:r>
      <w:r>
        <w:t>的手机固定布局。当前建议优先验证四天线同步接收，保留三天线的性能边界评估及两天线的对照试验。三天线是需求期望，四天线是现有证据下更有希望的实现配置；二者不能混同。系统允许自研同步电路，暂不以功耗和成本作为主要约束，惯性测量单元（</w:t>
      </w:r>
      <w:r>
        <w:t>IMU</w:t>
      </w:r>
      <w:r>
        <w:t>）保留扩展接口，当前验证不依赖</w:t>
      </w:r>
      <w:r>
        <w:t>IMU</w:t>
      </w:r>
      <w:r>
        <w:t>。</w:t>
      </w:r>
    </w:p>
    <w:p w14:paraId="0C65B706" w14:textId="77777777" w:rsidR="00824FB7" w:rsidRDefault="00EF6291">
      <w:pPr>
        <w:pStyle w:val="2"/>
        <w:numPr>
          <w:ilvl w:val="1"/>
          <w:numId w:val="1"/>
        </w:numPr>
      </w:pPr>
      <w:r>
        <w:t>总体架构与信号模型</w:t>
      </w:r>
    </w:p>
    <w:p w14:paraId="352B27C4" w14:textId="77777777" w:rsidR="00824FB7" w:rsidRDefault="00EF6291">
      <w:r>
        <w:t>接收链路由固定天线阵列、共时钟射频采样、通道标定、联合捕获跟踪、空间异常检测、零陷抑制、真实观测准入和导航解算组成。空间处理作用于同步复采样或多天线相关结果，抑制后继续捕获与跟踪真实卫星，而不是仅在位置层面判断轨</w:t>
      </w:r>
      <w:r>
        <w:lastRenderedPageBreak/>
        <w:t>迹是否异常。当前模型使用标称姿态、星历及粗码周期辅助；这些信息的可获得性和可信性是工程实现前提。</w:t>
      </w:r>
    </w:p>
    <w:p w14:paraId="53A14F61" w14:textId="77777777" w:rsidR="00824FB7" w:rsidRDefault="00EF6291">
      <w:r>
        <w:t>对单频窄带阵列，采样向量可表示为式（</w:t>
      </w:r>
      <w:r>
        <w:t>7-1</w:t>
      </w:r>
      <w:r>
        <w:t>）。其中，</w:t>
      </w:r>
      <w:r>
        <w:t>x</w:t>
      </w:r>
      <w:r>
        <w:t>为</w:t>
      </w:r>
      <w:r>
        <w:t>M</w:t>
      </w:r>
      <w:r>
        <w:t>路同步复采样向量，</w:t>
      </w:r>
      <w:r>
        <w:t>a</w:t>
      </w:r>
      <w:r>
        <w:t>为阵列导向向量，</w:t>
      </w:r>
      <w:r>
        <w:t>u</w:t>
      </w:r>
      <w:r>
        <w:t>为到达方向，</w:t>
      </w:r>
      <w:r>
        <w:t>s</w:t>
      </w:r>
      <w:r>
        <w:t>为第</w:t>
      </w:r>
      <w:r>
        <w:t>i</w:t>
      </w:r>
      <w:r>
        <w:t>颗真实卫星的接收分量，</w:t>
      </w:r>
      <w:r>
        <w:t>q</w:t>
      </w:r>
      <w:r>
        <w:t>为单个欺骗源发射的复合信号，</w:t>
      </w:r>
      <w:r>
        <w:t>n</w:t>
      </w:r>
      <w:r>
        <w:t>为噪声。</w:t>
      </w:r>
      <w:r>
        <w:t>q</w:t>
      </w:r>
      <w:r>
        <w:t>可以包含多个伪造</w:t>
      </w:r>
      <w:r>
        <w:t>PRN</w:t>
      </w:r>
      <w:r>
        <w:t>分量，但在单径远场近似下共享一个空间方向。</w:t>
      </w:r>
    </w:p>
    <w:p w14:paraId="6E6F274F" w14:textId="0CB79B12" w:rsidR="00824FB7" w:rsidRDefault="00EF6291">
      <w:pPr>
        <w:tabs>
          <w:tab w:val="center" w:pos="4394"/>
          <w:tab w:val="right" w:pos="8787"/>
        </w:tabs>
        <w:spacing w:before="80" w:after="80"/>
        <w:ind w:firstLineChars="0" w:firstLine="0"/>
      </w:pPr>
      <w:r>
        <w:tab/>
      </w:r>
      <m:oMath>
        <m:r>
          <m:rPr>
            <m:sty m:val="bi"/>
          </m:rPr>
          <w:rPr>
            <w:rFonts w:ascii="Cambria Math" w:hAnsi="Cambria Math"/>
          </w:rPr>
          <m:t>x</m:t>
        </m:r>
        <m:r>
          <w:rPr>
            <w:rFonts w:ascii="Cambria Math" w:hAnsi="Cambria Math"/>
          </w:rPr>
          <m:t>(</m:t>
        </m:r>
        <m:r>
          <w:rPr>
            <w:rFonts w:ascii="Cambria Math" w:hAnsi="Cambria Math"/>
          </w:rPr>
          <m:t>t</m:t>
        </m:r>
        <m:r>
          <w:rPr>
            <w:rFonts w:ascii="Cambria Math" w:hAnsi="Cambria Math"/>
          </w:rPr>
          <m:t>)=</m:t>
        </m:r>
        <m:nary>
          <m:naryPr>
            <m:chr m:val="∑"/>
            <m:limLoc m:val="subSup"/>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m:rPr>
                <m:sty m:val="bi"/>
              </m:rPr>
              <w:rPr>
                <w:rFonts w:ascii="Cambria Math" w:hAnsi="Cambria Math"/>
              </w:rPr>
              <m:t>a</m:t>
            </m:r>
            <m:r>
              <w:rPr>
                <w:rFonts w:ascii="Cambria Math" w:hAnsi="Cambria Math"/>
              </w:rPr>
              <m:t>(</m:t>
            </m:r>
            <m:sSub>
              <m:sSubPr>
                <m:ctrlPr>
                  <w:rPr>
                    <w:rFonts w:ascii="Cambria Math" w:hAnsi="Cambria Math"/>
                  </w:rPr>
                </m:ctrlPr>
              </m:sSubPr>
              <m:e>
                <m:r>
                  <m:rPr>
                    <m:sty m:val="bi"/>
                  </m:rP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m:t>
            </m:r>
          </m:e>
        </m:nary>
        <m:r>
          <w:rPr>
            <w:rFonts w:ascii="Cambria Math" w:hAnsi="Cambria Math"/>
          </w:rPr>
          <m:t>+</m:t>
        </m:r>
        <m:r>
          <m:rPr>
            <m:sty m:val="bi"/>
          </m:rPr>
          <w:rPr>
            <w:rFonts w:ascii="Cambria Math" w:hAnsi="Cambria Math"/>
          </w:rPr>
          <m:t>a</m:t>
        </m:r>
        <m:r>
          <w:rPr>
            <w:rFonts w:ascii="Cambria Math" w:hAnsi="Cambria Math"/>
          </w:rPr>
          <m:t>(</m:t>
        </m:r>
        <m:sSub>
          <m:sSubPr>
            <m:ctrlPr>
              <w:rPr>
                <w:rFonts w:ascii="Cambria Math" w:hAnsi="Cambria Math"/>
              </w:rPr>
            </m:ctrlPr>
          </m:sSubPr>
          <m:e>
            <m:r>
              <m:rPr>
                <m:sty m:val="bi"/>
              </m:rPr>
              <w:rPr>
                <w:rFonts w:ascii="Cambria Math" w:hAnsi="Cambria Math"/>
              </w:rPr>
              <m:t>u</m:t>
            </m:r>
          </m:e>
          <m:sub>
            <m:r>
              <w:rPr>
                <w:rFonts w:ascii="Cambria Math" w:hAnsi="Cambria Math"/>
              </w:rPr>
              <m:t>s</m:t>
            </m:r>
          </m:sub>
        </m:sSub>
        <m:r>
          <w:rPr>
            <w:rFonts w:ascii="Cambria Math" w:hAnsi="Cambria Math"/>
          </w:rPr>
          <m:t>)</m:t>
        </m:r>
        <m:r>
          <w:rPr>
            <w:rFonts w:ascii="Cambria Math" w:hAnsi="Cambria Math"/>
          </w:rPr>
          <m:t>q</m:t>
        </m:r>
        <m:r>
          <w:rPr>
            <w:rFonts w:ascii="Cambria Math" w:hAnsi="Cambria Math"/>
          </w:rPr>
          <m:t>(</m:t>
        </m:r>
        <m:r>
          <w:rPr>
            <w:rFonts w:ascii="Cambria Math" w:hAnsi="Cambria Math"/>
          </w:rPr>
          <m:t>t</m:t>
        </m:r>
        <m:r>
          <w:rPr>
            <w:rFonts w:ascii="Cambria Math" w:hAnsi="Cambria Math"/>
          </w:rPr>
          <m:t>)+</m:t>
        </m:r>
        <m:r>
          <m:rPr>
            <m:sty m:val="bi"/>
          </m:rPr>
          <w:rPr>
            <w:rFonts w:ascii="Cambria Math" w:hAnsi="Cambria Math"/>
          </w:rPr>
          <m:t>n</m:t>
        </m:r>
        <m:r>
          <w:rPr>
            <w:rFonts w:ascii="Cambria Math" w:hAnsi="Cambria Math"/>
          </w:rPr>
          <m:t>(</m:t>
        </m:r>
        <m:r>
          <w:rPr>
            <w:rFonts w:ascii="Cambria Math" w:hAnsi="Cambria Math"/>
          </w:rPr>
          <m:t>t</m:t>
        </m:r>
        <m:r>
          <w:rPr>
            <w:rFonts w:ascii="Cambria Math" w:hAnsi="Cambria Math"/>
          </w:rPr>
          <m:t>)</m:t>
        </m:r>
      </m:oMath>
      <w:r>
        <w:tab/>
      </w:r>
      <w:r>
        <w:t>（</w:t>
      </w:r>
      <w:r>
        <w:t>7-</w:t>
      </w:r>
      <w:r>
        <w:fldChar w:fldCharType="begin"/>
      </w:r>
      <w:r>
        <w:instrText xml:space="preserve"> SEQ Eq7 </w:instrText>
      </w:r>
      <w:r>
        <w:fldChar w:fldCharType="separate"/>
      </w:r>
      <w:r w:rsidR="005A5564">
        <w:rPr>
          <w:noProof/>
        </w:rPr>
        <w:t>1</w:t>
      </w:r>
      <w:r>
        <w:fldChar w:fldCharType="end"/>
      </w:r>
      <w:r>
        <w:t>）</w:t>
      </w:r>
    </w:p>
    <w:p w14:paraId="3943F131" w14:textId="77777777" w:rsidR="00824FB7" w:rsidRDefault="00EF6291">
      <w:r>
        <w:t>以参考天线为相位原点，理想导向响应由天线坐标在来波方向上的投影决定，如式（</w:t>
      </w:r>
      <w:r>
        <w:t>7-2</w:t>
      </w:r>
      <w:r>
        <w:t>）。</w:t>
      </w:r>
      <w:r>
        <w:t>b</w:t>
      </w:r>
      <w:r>
        <w:t>为相对基线，</w:t>
      </w:r>
      <w:r>
        <w:t>λ</w:t>
      </w:r>
      <w:r>
        <w:t>为载波波长；符号正负随接收相位约定统一。真实实现还需加入各通道的复增益、天线方向图和互耦，不能只按几何尺寸生成导向向量。</w:t>
      </w:r>
    </w:p>
    <w:p w14:paraId="7E88C96D" w14:textId="69E50F27" w:rsidR="00824FB7" w:rsidRDefault="00EF6291">
      <w:pPr>
        <w:tabs>
          <w:tab w:val="center" w:pos="4394"/>
          <w:tab w:val="right" w:pos="8787"/>
        </w:tabs>
        <w:spacing w:before="80" w:after="80"/>
        <w:ind w:firstLineChars="0" w:firstLine="0"/>
      </w:pPr>
      <w:r>
        <w:tab/>
      </w:r>
      <m:oMath>
        <m:sSub>
          <m:sSubPr>
            <m:ctrlPr>
              <w:rPr>
                <w:rFonts w:ascii="Cambria Math" w:hAnsi="Cambria Math"/>
              </w:rPr>
            </m:ctrlPr>
          </m:sSubPr>
          <m:e>
            <m:r>
              <m:rPr>
                <m:sty m:val="bi"/>
              </m:rPr>
              <w:rPr>
                <w:rFonts w:ascii="Cambria Math" w:hAnsi="Cambria Math"/>
              </w:rPr>
              <m:t>a</m:t>
            </m:r>
          </m:e>
          <m:sub>
            <m:r>
              <w:rPr>
                <w:rFonts w:ascii="Cambria Math" w:hAnsi="Cambria Math"/>
              </w:rPr>
              <m:t>m</m:t>
            </m:r>
          </m:sub>
        </m:sSub>
        <m:r>
          <w:rPr>
            <w:rFonts w:ascii="Cambria Math" w:hAnsi="Cambria Math"/>
          </w:rPr>
          <m:t>(</m:t>
        </m:r>
        <m:r>
          <m:rPr>
            <m:sty m:val="bi"/>
          </m:rPr>
          <w:rPr>
            <w:rFonts w:ascii="Cambria Math" w:hAnsi="Cambria Math"/>
          </w:rPr>
          <m:t>u</m:t>
        </m:r>
        <m:r>
          <w:rPr>
            <w:rFonts w:ascii="Cambria Math" w:hAnsi="Cambria Math"/>
          </w:rPr>
          <m:t>)=</m:t>
        </m:r>
        <m:r>
          <m:rPr>
            <m:sty m:val="p"/>
          </m:rPr>
          <w:rPr>
            <w:rFonts w:ascii="Cambria Math" w:hAnsi="Cambria Math"/>
          </w:rPr>
          <m:t>exp</m:t>
        </m:r>
        <m:r>
          <w:rPr>
            <w:rFonts w:ascii="Cambria Math" w:hAnsi="Cambria Math"/>
          </w:rPr>
          <m:t>(-</m:t>
        </m:r>
        <m:r>
          <w:rPr>
            <w:rFonts w:ascii="Cambria Math" w:hAnsi="Cambria Math"/>
          </w:rPr>
          <m:t>j</m:t>
        </m:r>
        <m:f>
          <m:fPr>
            <m:ctrlPr>
              <w:rPr>
                <w:rFonts w:ascii="Cambria Math" w:hAnsi="Cambria Math"/>
              </w:rPr>
            </m:ctrlPr>
          </m:fPr>
          <m:num>
            <m:r>
              <w:rPr>
                <w:rFonts w:ascii="Cambria Math" w:hAnsi="Cambria Math"/>
              </w:rPr>
              <m:t>2</m:t>
            </m:r>
            <m:r>
              <w:rPr>
                <w:rFonts w:ascii="Cambria Math" w:hAnsi="Cambria Math"/>
              </w:rPr>
              <m:t>π</m:t>
            </m:r>
          </m:num>
          <m:den>
            <m:r>
              <w:rPr>
                <w:rFonts w:ascii="Cambria Math" w:hAnsi="Cambria Math"/>
              </w:rPr>
              <m:t>λ</m:t>
            </m:r>
          </m:den>
        </m:f>
        <m:sSup>
          <m:sSupPr>
            <m:ctrlPr>
              <w:rPr>
                <w:rFonts w:ascii="Cambria Math" w:hAnsi="Cambria Math"/>
              </w:rPr>
            </m:ctrlPr>
          </m:sSupPr>
          <m:e>
            <m:sSub>
              <m:sSubPr>
                <m:ctrlPr>
                  <w:rPr>
                    <w:rFonts w:ascii="Cambria Math" w:hAnsi="Cambria Math"/>
                  </w:rPr>
                </m:ctrlPr>
              </m:sSubPr>
              <m:e>
                <m:r>
                  <m:rPr>
                    <m:sty m:val="bi"/>
                  </m:rPr>
                  <w:rPr>
                    <w:rFonts w:ascii="Cambria Math" w:hAnsi="Cambria Math"/>
                  </w:rPr>
                  <m:t>b</m:t>
                </m:r>
              </m:e>
              <m:sub>
                <m:r>
                  <w:rPr>
                    <w:rFonts w:ascii="Cambria Math" w:hAnsi="Cambria Math"/>
                  </w:rPr>
                  <m:t>m</m:t>
                </m:r>
              </m:sub>
            </m:sSub>
          </m:e>
          <m:sup>
            <m:r>
              <m:rPr>
                <m:sty m:val="p"/>
              </m:rPr>
              <w:rPr>
                <w:rFonts w:ascii="Cambria Math" w:hAnsi="Cambria Math"/>
              </w:rPr>
              <m:t>T</m:t>
            </m:r>
          </m:sup>
        </m:sSup>
        <m:r>
          <m:rPr>
            <m:sty m:val="bi"/>
          </m:rPr>
          <w:rPr>
            <w:rFonts w:ascii="Cambria Math" w:hAnsi="Cambria Math"/>
          </w:rPr>
          <m:t>u</m:t>
        </m:r>
        <m:r>
          <w:rPr>
            <w:rFonts w:ascii="Cambria Math" w:hAnsi="Cambria Math"/>
          </w:rPr>
          <m:t>)</m:t>
        </m:r>
      </m:oMath>
      <w:r>
        <w:tab/>
      </w:r>
      <w:r>
        <w:t>（</w:t>
      </w:r>
      <w:r>
        <w:t>7-</w:t>
      </w:r>
      <w:r>
        <w:fldChar w:fldCharType="begin"/>
      </w:r>
      <w:r>
        <w:instrText xml:space="preserve"> SEQ Eq7 </w:instrText>
      </w:r>
      <w:r>
        <w:fldChar w:fldCharType="separate"/>
      </w:r>
      <w:r w:rsidR="005A5564">
        <w:rPr>
          <w:noProof/>
        </w:rPr>
        <w:t>2</w:t>
      </w:r>
      <w:r>
        <w:fldChar w:fldCharType="end"/>
      </w:r>
      <w:r>
        <w:t>）</w:t>
      </w:r>
    </w:p>
    <w:p w14:paraId="60A458A0" w14:textId="77777777" w:rsidR="00824FB7" w:rsidRDefault="00EF6291">
      <w:r>
        <w:t>多颗真实卫星通常分布于不同方向，单源伪信号具有共同空间响应，这是本方案的主要可辨识依据。但小孔径阵列、低信噪比及方向接近会削弱差异；平面阵列还可能存在镜像或病态几何。因此，系统优先估计可用于抑制的空间子空间，角度输出作为辅助信息，不以单一方位角估计替代真伪判决。</w:t>
      </w:r>
    </w:p>
    <w:p w14:paraId="1BE8E00C" w14:textId="77777777" w:rsidR="00824FB7" w:rsidRDefault="00EF6291">
      <w:pPr>
        <w:pStyle w:val="2"/>
        <w:numPr>
          <w:ilvl w:val="1"/>
          <w:numId w:val="1"/>
        </w:numPr>
      </w:pPr>
      <w:r>
        <w:t>欺骗检测与方向识别</w:t>
      </w:r>
    </w:p>
    <w:p w14:paraId="4FE7F1BE" w14:textId="77777777" w:rsidR="00824FB7" w:rsidRDefault="00EF6291">
      <w:pPr>
        <w:pStyle w:val="3"/>
        <w:numPr>
          <w:ilvl w:val="2"/>
          <w:numId w:val="1"/>
        </w:numPr>
      </w:pPr>
      <w:r>
        <w:t>多通道共同来源检测</w:t>
      </w:r>
    </w:p>
    <w:p w14:paraId="1031E782" w14:textId="77777777" w:rsidR="00824FB7" w:rsidRDefault="00EF6291">
      <w:r>
        <w:t>启动阶段利用已跟踪真实卫星的预测响应估计通道相位及相位变化率。运行阶段对多个</w:t>
      </w:r>
      <w:r>
        <w:t>PRN</w:t>
      </w:r>
      <w:r>
        <w:t>的天线相关向量进行联合分析，在扣除与真实卫星方向一致的分量后，检查是否存在跨</w:t>
      </w:r>
      <w:r>
        <w:t>PRN</w:t>
      </w:r>
      <w:r>
        <w:t>共享的残余空间分量。该过程比简单比较接收功率增加了方向约束，能够针对同一发射源伪造多颗卫星的情形形成检测证据。</w:t>
      </w:r>
    </w:p>
    <w:p w14:paraId="658B25C4" w14:textId="77777777" w:rsidR="00824FB7" w:rsidRDefault="00EF6291">
      <w:r>
        <w:t>当前研究实现以相关残差中的共同分量能量相对噪声估计进行触发，触发阈值为</w:t>
      </w:r>
      <w:r>
        <w:t>3</w:t>
      </w:r>
      <w:r>
        <w:t>。该数值是未完成现场虚警标定的研究参数，不能直接写成商用报警门限。共源检测需与跟踪状态、正常天空模型和时间连续性共同解释；真实卫星叠加、多径或校准漂移也可能形成异常相关结构。系统不把仿真攻击时刻、真实位置或攻击标签作为接收机输入。</w:t>
      </w:r>
    </w:p>
    <w:p w14:paraId="2634AB3E" w14:textId="77777777" w:rsidR="00824FB7" w:rsidRDefault="00EF6291">
      <w:pPr>
        <w:pStyle w:val="3"/>
        <w:numPr>
          <w:ilvl w:val="2"/>
          <w:numId w:val="1"/>
        </w:numPr>
      </w:pPr>
      <w:r>
        <w:lastRenderedPageBreak/>
        <w:t>星间差分与误差消除边界</w:t>
      </w:r>
    </w:p>
    <w:p w14:paraId="4D9A3799" w14:textId="77777777" w:rsidR="00824FB7" w:rsidRDefault="00EF6291">
      <w:r>
        <w:t>为减弱通道公共偏差，考虑先形成天线间载波相位差，再在卫星之间做差。采用以米计的载波观测，式（</w:t>
      </w:r>
      <w:r>
        <w:t>7-3</w:t>
      </w:r>
      <w:r>
        <w:t>）给出基线</w:t>
      </w:r>
      <w:r>
        <w:t>b</w:t>
      </w:r>
      <w:r>
        <w:t>上卫星</w:t>
      </w:r>
      <w:r>
        <w:t>i</w:t>
      </w:r>
      <w:r>
        <w:t>与</w:t>
      </w:r>
      <w:r>
        <w:t>j</w:t>
      </w:r>
      <w:r>
        <w:t>的双差模型。</w:t>
      </w:r>
      <w:r>
        <w:t>ΔN</w:t>
      </w:r>
      <w:r>
        <w:t>为相应整周模糊度组合，</w:t>
      </w:r>
      <w:r>
        <w:t>ε</w:t>
      </w:r>
      <w:r>
        <w:t>包含未消除误差。双差消除的是具有相同系数的公共项，不意味着所有固定误差均被消除。</w:t>
      </w:r>
    </w:p>
    <w:p w14:paraId="3053CCC3" w14:textId="2E87D1D7" w:rsidR="00824FB7" w:rsidRDefault="00EF6291">
      <w:pPr>
        <w:tabs>
          <w:tab w:val="center" w:pos="4394"/>
          <w:tab w:val="right" w:pos="8787"/>
        </w:tabs>
        <w:spacing w:before="80" w:after="80"/>
        <w:ind w:firstLineChars="0" w:firstLine="0"/>
      </w:pPr>
      <w:r>
        <w:tab/>
      </w:r>
      <m:oMath>
        <m:sSub>
          <m:sSubPr>
            <m:ctrlPr>
              <w:rPr>
                <w:rFonts w:ascii="Cambria Math" w:hAnsi="Cambria Math"/>
              </w:rPr>
            </m:ctrlPr>
          </m:sSubPr>
          <m:e>
            <m:r>
              <w:rPr>
                <w:rFonts w:ascii="Cambria Math" w:hAnsi="Cambria Math"/>
              </w:rPr>
              <m:t>D</m:t>
            </m:r>
          </m:e>
          <m:sub>
            <m:r>
              <m:rPr>
                <m:sty m:val="bi"/>
              </m:rPr>
              <w:rPr>
                <w:rFonts w:ascii="Cambria Math" w:hAnsi="Cambria Math"/>
              </w:rPr>
              <m:t>b</m:t>
            </m:r>
            <m:r>
              <w:rPr>
                <w:rFonts w:ascii="Cambria Math" w:hAnsi="Cambria Math"/>
              </w:rPr>
              <m:t>,</m:t>
            </m:r>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L</m:t>
            </m:r>
          </m:e>
          <m:sub>
            <m:r>
              <m:rPr>
                <m:sty m:val="bi"/>
              </m:rPr>
              <w:rPr>
                <w:rFonts w:ascii="Cambria Math" w:hAnsi="Cambria Math"/>
              </w:rPr>
              <m:t>b</m:t>
            </m:r>
            <m:r>
              <w:rPr>
                <w:rFonts w:ascii="Cambria Math" w:hAnsi="Cambria Math"/>
              </w:rPr>
              <m:t>,</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m:rPr>
                <m:sty m:val="bi"/>
              </m:rPr>
              <w:rPr>
                <w:rFonts w:ascii="Cambria Math" w:hAnsi="Cambria Math"/>
              </w:rPr>
              <m:t>b</m:t>
            </m:r>
            <m:r>
              <w:rPr>
                <w:rFonts w:ascii="Cambria Math" w:hAnsi="Cambria Math"/>
              </w:rPr>
              <m:t>,</m:t>
            </m:r>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r>
              <w:rPr>
                <w:rFonts w:ascii="Cambria Math" w:hAnsi="Cambria Math"/>
              </w:rPr>
              <m:t>j</m:t>
            </m:r>
          </m:sub>
        </m:sSub>
        <m:r>
          <w:rPr>
            <w:rFonts w:ascii="Cambria Math" w:hAnsi="Cambria Math"/>
          </w:rPr>
          <m:t>)</m:t>
        </m:r>
      </m:oMath>
      <w:r>
        <w:tab/>
      </w:r>
      <w:r>
        <w:t>（</w:t>
      </w:r>
      <w:r>
        <w:t>7-</w:t>
      </w:r>
      <w:r>
        <w:fldChar w:fldCharType="begin"/>
      </w:r>
      <w:r>
        <w:instrText xml:space="preserve"> SEQ Eq7 </w:instrText>
      </w:r>
      <w:r>
        <w:fldChar w:fldCharType="separate"/>
      </w:r>
      <w:r w:rsidR="005A5564">
        <w:rPr>
          <w:noProof/>
        </w:rPr>
        <w:t>3</w:t>
      </w:r>
      <w:r>
        <w:fldChar w:fldCharType="end"/>
      </w:r>
      <w:r>
        <w:t>）</w:t>
      </w:r>
    </w:p>
    <w:p w14:paraId="19E32910" w14:textId="6731A527" w:rsidR="00824FB7" w:rsidRDefault="00EF6291">
      <w:pPr>
        <w:tabs>
          <w:tab w:val="center" w:pos="4394"/>
          <w:tab w:val="right" w:pos="8787"/>
        </w:tabs>
        <w:spacing w:before="80" w:after="80"/>
        <w:ind w:firstLineChars="0" w:firstLine="0"/>
      </w:pPr>
      <w:r>
        <w:tab/>
      </w:r>
      <m:oMath>
        <m:sSub>
          <m:sSubPr>
            <m:ctrlPr>
              <w:rPr>
                <w:rFonts w:ascii="Cambria Math" w:hAnsi="Cambria Math"/>
              </w:rPr>
            </m:ctrlPr>
          </m:sSubPr>
          <m:e>
            <m:r>
              <w:rPr>
                <w:rFonts w:ascii="Cambria Math" w:hAnsi="Cambria Math"/>
              </w:rPr>
              <m:t>D</m:t>
            </m:r>
          </m:e>
          <m:sub>
            <m:r>
              <m:rPr>
                <m:sty m:val="bi"/>
              </m:rPr>
              <w:rPr>
                <w:rFonts w:ascii="Cambria Math" w:hAnsi="Cambria Math"/>
              </w:rPr>
              <m:t>b</m:t>
            </m:r>
            <m:r>
              <w:rPr>
                <w:rFonts w:ascii="Cambria Math" w:hAnsi="Cambria Math"/>
              </w:rPr>
              <m:t>,</m:t>
            </m:r>
            <m:r>
              <w:rPr>
                <w:rFonts w:ascii="Cambria Math" w:hAnsi="Cambria Math"/>
              </w:rPr>
              <m:t>ij</m:t>
            </m:r>
          </m:sub>
        </m:sSub>
        <m:r>
          <w:rPr>
            <w:rFonts w:ascii="Cambria Math" w:hAnsi="Cambria Math"/>
          </w:rPr>
          <m:t>≈-</m:t>
        </m:r>
        <m:sSup>
          <m:sSupPr>
            <m:ctrlPr>
              <w:rPr>
                <w:rFonts w:ascii="Cambria Math" w:hAnsi="Cambria Math"/>
              </w:rPr>
            </m:ctrlPr>
          </m:sSupPr>
          <m:e>
            <m:r>
              <m:rPr>
                <m:sty m:val="bi"/>
              </m:rPr>
              <w:rPr>
                <w:rFonts w:ascii="Cambria Math" w:hAnsi="Cambria Math"/>
              </w:rPr>
              <m:t>b</m:t>
            </m:r>
          </m:e>
          <m:sup>
            <m:r>
              <m:rPr>
                <m:sty m:val="p"/>
              </m:rPr>
              <w:rPr>
                <w:rFonts w:ascii="Cambria Math" w:hAnsi="Cambria Math"/>
              </w:rPr>
              <m:t>T</m:t>
            </m:r>
          </m:sup>
        </m:sSup>
        <m:r>
          <w:rPr>
            <w:rFonts w:ascii="Cambria Math" w:hAnsi="Cambria Math"/>
          </w:rPr>
          <m:t>(</m:t>
        </m:r>
        <m:sSub>
          <m:sSubPr>
            <m:ctrlPr>
              <w:rPr>
                <w:rFonts w:ascii="Cambria Math" w:hAnsi="Cambria Math"/>
              </w:rPr>
            </m:ctrlPr>
          </m:sSubPr>
          <m:e>
            <m:r>
              <m:rPr>
                <m:sty m:val="bi"/>
              </m:rP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m:rPr>
                <m:sty m:val="bi"/>
              </m:rPr>
              <w:rPr>
                <w:rFonts w:ascii="Cambria Math" w:hAnsi="Cambria Math"/>
              </w:rPr>
              <m:t>u</m:t>
            </m:r>
          </m:e>
          <m:sub>
            <m:r>
              <w:rPr>
                <w:rFonts w:ascii="Cambria Math" w:hAnsi="Cambria Math"/>
              </w:rPr>
              <m:t>j</m:t>
            </m:r>
          </m:sub>
        </m:sSub>
        <m: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ΔN</m:t>
            </m:r>
          </m:e>
          <m:sub>
            <m:r>
              <m:rPr>
                <m:sty m:val="bi"/>
              </m:rPr>
              <w:rPr>
                <w:rFonts w:ascii="Cambria Math" w:hAnsi="Cambria Math"/>
              </w:rPr>
              <m:t>b</m:t>
            </m:r>
            <m:r>
              <w:rPr>
                <w:rFonts w:ascii="Cambria Math" w:hAnsi="Cambria Math"/>
              </w:rPr>
              <m:t>,</m:t>
            </m:r>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ε</m:t>
            </m:r>
          </m:e>
          <m:sub>
            <m:r>
              <m:rPr>
                <m:sty m:val="bi"/>
              </m:rPr>
              <w:rPr>
                <w:rFonts w:ascii="Cambria Math" w:hAnsi="Cambria Math"/>
              </w:rPr>
              <m:t>b</m:t>
            </m:r>
            <m:r>
              <w:rPr>
                <w:rFonts w:ascii="Cambria Math" w:hAnsi="Cambria Math"/>
              </w:rPr>
              <m:t>,</m:t>
            </m:r>
            <m:r>
              <w:rPr>
                <w:rFonts w:ascii="Cambria Math" w:hAnsi="Cambria Math"/>
              </w:rPr>
              <m:t>ij</m:t>
            </m:r>
          </m:sub>
        </m:sSub>
      </m:oMath>
      <w:r>
        <w:tab/>
      </w:r>
      <w:r>
        <w:t>（</w:t>
      </w:r>
      <w:r>
        <w:t>7-</w:t>
      </w:r>
      <w:r>
        <w:fldChar w:fldCharType="begin"/>
      </w:r>
      <w:r>
        <w:instrText xml:space="preserve"> SEQ Eq7 </w:instrText>
      </w:r>
      <w:r>
        <w:fldChar w:fldCharType="separate"/>
      </w:r>
      <w:r w:rsidR="005A5564">
        <w:rPr>
          <w:noProof/>
        </w:rPr>
        <w:t>4</w:t>
      </w:r>
      <w:r>
        <w:fldChar w:fldCharType="end"/>
      </w:r>
      <w:r>
        <w:t>）</w:t>
      </w:r>
    </w:p>
    <w:p w14:paraId="3AAB0495" w14:textId="77777777" w:rsidR="00824FB7" w:rsidRDefault="00EF6291">
      <w:r>
        <w:t>同频、同时观测且通道偏差与卫星无关时，接收通道的公共相位偏差可在星间差分中抵消；同一欺骗源的几何项也趋于相同。方向相关的天线相位中心、多径、非同步采样和不同频点的硬件延迟不满足此条件，仍会留下残差。未固定的整周模糊度使静态双差不能直接按</w:t>
      </w:r>
      <w:r>
        <w:t>“</w:t>
      </w:r>
      <w:r>
        <w:t>是否接近零</w:t>
      </w:r>
      <w:r>
        <w:t>”</w:t>
      </w:r>
      <w:r>
        <w:t>判假，宜使用圆周相位、同弧变化或显式模糊度处理。不同双差共享参考星，噪声相关性需保留。</w:t>
      </w:r>
    </w:p>
    <w:p w14:paraId="4DDBA3B1" w14:textId="77777777" w:rsidR="00824FB7" w:rsidRDefault="00EF6291">
      <w:r>
        <w:t>星间差分可作为共源判断和校准一致性的辅助约束，但尚不能将其作为最新导航结果的已验证独立增益。若结合姿态变化，基线投影随转动的规律可能进一步约束真伪；由于当前未纳入</w:t>
      </w:r>
      <w:r>
        <w:t>IMU</w:t>
      </w:r>
      <w:r>
        <w:t>及动态姿态误差，该能力列为后续研究，不计入现阶段性能承诺。</w:t>
      </w:r>
    </w:p>
    <w:p w14:paraId="7E2395CA" w14:textId="77777777" w:rsidR="00824FB7" w:rsidRDefault="00EF6291">
      <w:pPr>
        <w:pStyle w:val="3"/>
        <w:numPr>
          <w:ilvl w:val="2"/>
          <w:numId w:val="1"/>
        </w:numPr>
      </w:pPr>
      <w:r>
        <w:t>欺骗方向估计与结果表达</w:t>
      </w:r>
    </w:p>
    <w:p w14:paraId="36365414" w14:textId="77777777" w:rsidR="00824FB7" w:rsidRDefault="00EF6291">
      <w:r>
        <w:t>由共同残余的主空间向量可构造候选欺骗导向向量，并与标定后的阵列流形匹配，估计方位角和俯仰角。实际角度可辨识性依赖阵列布局、标定精度及方向先验；多个方向与观测近似等价时，应报告不确定性或等价方向集合。工程上可先利用估计子空间实施零陷，不必等到绝对角度达到高精度。当前统一性能报告验证的是导航输出，未形成可承诺的测向误差指标。</w:t>
      </w:r>
    </w:p>
    <w:p w14:paraId="5D445A1B" w14:textId="77777777" w:rsidR="00824FB7" w:rsidRDefault="00EF6291">
      <w:pPr>
        <w:pStyle w:val="2"/>
        <w:numPr>
          <w:ilvl w:val="1"/>
          <w:numId w:val="1"/>
        </w:numPr>
      </w:pPr>
      <w:r>
        <w:t>空间抑制与真实信号恢复</w:t>
      </w:r>
    </w:p>
    <w:p w14:paraId="2241ABA8" w14:textId="77777777" w:rsidR="00824FB7" w:rsidRDefault="00EF6291">
      <w:r>
        <w:t>对估计得到的单源导向向量</w:t>
      </w:r>
      <w:r>
        <w:t>aₛ</w:t>
      </w:r>
      <w:r>
        <w:t>，理想正交投影矩阵如式（</w:t>
      </w:r>
      <w:r>
        <w:t>7-5</w:t>
      </w:r>
      <w:r>
        <w:t>）。该矩阵压低与欺骗源同一空间子空间的分量。对第</w:t>
      </w:r>
      <w:r>
        <w:t>i</w:t>
      </w:r>
      <w:r>
        <w:t>颗真实卫星，按式（</w:t>
      </w:r>
      <w:r>
        <w:t>7-6</w:t>
      </w:r>
      <w:r>
        <w:t>）构造保持目标响应的理想权向量；工程实现需结合当前估计误差和归一化数值处理，式中表达的是核心空间约束。</w:t>
      </w:r>
    </w:p>
    <w:p w14:paraId="4C630A72" w14:textId="04731753" w:rsidR="00824FB7" w:rsidRDefault="00EF6291">
      <w:pPr>
        <w:tabs>
          <w:tab w:val="center" w:pos="4394"/>
          <w:tab w:val="right" w:pos="8787"/>
        </w:tabs>
        <w:spacing w:before="80" w:after="80"/>
        <w:ind w:firstLineChars="0" w:firstLine="0"/>
      </w:pPr>
      <w:r>
        <w:lastRenderedPageBreak/>
        <w:tab/>
      </w:r>
      <m:oMath>
        <m:sSub>
          <m:sSubPr>
            <m:ctrlPr>
              <w:rPr>
                <w:rFonts w:ascii="Cambria Math" w:hAnsi="Cambria Math"/>
              </w:rPr>
            </m:ctrlPr>
          </m:sSubPr>
          <m:e>
            <m:r>
              <m:rPr>
                <m:sty m:val="b"/>
              </m:rPr>
              <w:rPr>
                <w:rFonts w:ascii="Cambria Math" w:hAnsi="Cambria Math"/>
              </w:rPr>
              <m:t>P</m:t>
            </m:r>
          </m:e>
          <m:sub>
            <m:r>
              <w:rPr>
                <w:rFonts w:ascii="Cambria Math" w:hAnsi="Cambria Math"/>
              </w:rPr>
              <m:t>⊥</m:t>
            </m:r>
          </m:sub>
        </m:sSub>
        <m:r>
          <w:rPr>
            <w:rFonts w:ascii="Cambria Math" w:hAnsi="Cambria Math"/>
          </w:rPr>
          <m:t>=</m:t>
        </m:r>
        <m:r>
          <m:rPr>
            <m:sty m:val="b"/>
          </m:rPr>
          <w:rPr>
            <w:rFonts w:ascii="Cambria Math" w:hAnsi="Cambria Math"/>
          </w:rPr>
          <m:t>I</m:t>
        </m:r>
        <m: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a</m:t>
                </m:r>
              </m:e>
              <m:sub>
                <m:r>
                  <w:rPr>
                    <w:rFonts w:ascii="Cambria Math" w:hAnsi="Cambria Math"/>
                  </w:rPr>
                  <m:t>s</m:t>
                </m:r>
              </m:sub>
            </m:sSub>
            <m:sSup>
              <m:sSupPr>
                <m:ctrlPr>
                  <w:rPr>
                    <w:rFonts w:ascii="Cambria Math" w:hAnsi="Cambria Math"/>
                  </w:rPr>
                </m:ctrlPr>
              </m:sSupPr>
              <m:e>
                <m:sSub>
                  <m:sSubPr>
                    <m:ctrlPr>
                      <w:rPr>
                        <w:rFonts w:ascii="Cambria Math" w:hAnsi="Cambria Math"/>
                      </w:rPr>
                    </m:ctrlPr>
                  </m:sSubPr>
                  <m:e>
                    <m:r>
                      <m:rPr>
                        <m:sty m:val="bi"/>
                      </m:rPr>
                      <w:rPr>
                        <w:rFonts w:ascii="Cambria Math" w:hAnsi="Cambria Math"/>
                      </w:rPr>
                      <m:t>a</m:t>
                    </m:r>
                  </m:e>
                  <m:sub>
                    <m:r>
                      <w:rPr>
                        <w:rFonts w:ascii="Cambria Math" w:hAnsi="Cambria Math"/>
                      </w:rPr>
                      <m:t>s</m:t>
                    </m:r>
                  </m:sub>
                </m:sSub>
              </m:e>
              <m:sup>
                <m:r>
                  <m:rPr>
                    <m:sty m:val="p"/>
                  </m:rPr>
                  <w:rPr>
                    <w:rFonts w:ascii="Cambria Math" w:hAnsi="Cambria Math"/>
                  </w:rPr>
                  <m:t>H</m:t>
                </m:r>
              </m:sup>
            </m:sSup>
          </m:num>
          <m:den>
            <m:sSup>
              <m:sSupPr>
                <m:ctrlPr>
                  <w:rPr>
                    <w:rFonts w:ascii="Cambria Math" w:hAnsi="Cambria Math"/>
                  </w:rPr>
                </m:ctrlPr>
              </m:sSupPr>
              <m:e>
                <m:sSub>
                  <m:sSubPr>
                    <m:ctrlPr>
                      <w:rPr>
                        <w:rFonts w:ascii="Cambria Math" w:hAnsi="Cambria Math"/>
                      </w:rPr>
                    </m:ctrlPr>
                  </m:sSubPr>
                  <m:e>
                    <m:r>
                      <m:rPr>
                        <m:sty m:val="bi"/>
                      </m:rPr>
                      <w:rPr>
                        <w:rFonts w:ascii="Cambria Math" w:hAnsi="Cambria Math"/>
                      </w:rPr>
                      <m:t>a</m:t>
                    </m:r>
                  </m:e>
                  <m:sub>
                    <m:r>
                      <w:rPr>
                        <w:rFonts w:ascii="Cambria Math" w:hAnsi="Cambria Math"/>
                      </w:rPr>
                      <m:t>s</m:t>
                    </m:r>
                  </m:sub>
                </m:sSub>
              </m:e>
              <m:sup>
                <m:r>
                  <m:rPr>
                    <m:sty m:val="p"/>
                  </m:rPr>
                  <w:rPr>
                    <w:rFonts w:ascii="Cambria Math" w:hAnsi="Cambria Math"/>
                  </w:rPr>
                  <m:t>H</m:t>
                </m:r>
              </m:sup>
            </m:sSup>
            <m:sSub>
              <m:sSubPr>
                <m:ctrlPr>
                  <w:rPr>
                    <w:rFonts w:ascii="Cambria Math" w:hAnsi="Cambria Math"/>
                  </w:rPr>
                </m:ctrlPr>
              </m:sSubPr>
              <m:e>
                <m:r>
                  <m:rPr>
                    <m:sty m:val="bi"/>
                  </m:rPr>
                  <w:rPr>
                    <w:rFonts w:ascii="Cambria Math" w:hAnsi="Cambria Math"/>
                  </w:rPr>
                  <m:t>a</m:t>
                </m:r>
              </m:e>
              <m:sub>
                <m:r>
                  <w:rPr>
                    <w:rFonts w:ascii="Cambria Math" w:hAnsi="Cambria Math"/>
                  </w:rPr>
                  <m:t>s</m:t>
                </m:r>
              </m:sub>
            </m:sSub>
          </m:den>
        </m:f>
      </m:oMath>
      <w:r>
        <w:tab/>
      </w:r>
      <w:r>
        <w:t>（</w:t>
      </w:r>
      <w:r>
        <w:t>7-</w:t>
      </w:r>
      <w:r>
        <w:fldChar w:fldCharType="begin"/>
      </w:r>
      <w:r>
        <w:instrText xml:space="preserve"> SEQ Eq7 </w:instrText>
      </w:r>
      <w:r>
        <w:fldChar w:fldCharType="separate"/>
      </w:r>
      <w:r w:rsidR="005A5564">
        <w:rPr>
          <w:noProof/>
        </w:rPr>
        <w:t>5</w:t>
      </w:r>
      <w:r>
        <w:fldChar w:fldCharType="end"/>
      </w:r>
      <w:r>
        <w:t>）</w:t>
      </w:r>
    </w:p>
    <w:p w14:paraId="0E949D05" w14:textId="50491BB5" w:rsidR="00824FB7" w:rsidRDefault="00EF6291">
      <w:pPr>
        <w:tabs>
          <w:tab w:val="center" w:pos="4394"/>
          <w:tab w:val="right" w:pos="8787"/>
        </w:tabs>
        <w:spacing w:before="80" w:after="80"/>
        <w:ind w:firstLineChars="0" w:firstLine="0"/>
      </w:pPr>
      <w:r>
        <w:tab/>
      </w:r>
      <m:oMath>
        <m:sSub>
          <m:sSubPr>
            <m:ctrlPr>
              <w:rPr>
                <w:rFonts w:ascii="Cambria Math" w:hAnsi="Cambria Math"/>
              </w:rPr>
            </m:ctrlPr>
          </m:sSubPr>
          <m:e>
            <m:r>
              <m:rPr>
                <m:sty m:val="bi"/>
              </m:rP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P</m:t>
                </m:r>
              </m:e>
              <m:sub>
                <m:r>
                  <w:rPr>
                    <w:rFonts w:ascii="Cambria Math" w:hAnsi="Cambria Math"/>
                  </w:rPr>
                  <m:t>⊥</m:t>
                </m:r>
              </m:sub>
            </m:sSub>
            <m:sSub>
              <m:sSubPr>
                <m:ctrlPr>
                  <w:rPr>
                    <w:rFonts w:ascii="Cambria Math" w:hAnsi="Cambria Math"/>
                  </w:rPr>
                </m:ctrlPr>
              </m:sSubPr>
              <m:e>
                <m:r>
                  <m:rPr>
                    <m:sty m:val="bi"/>
                  </m:rPr>
                  <w:rPr>
                    <w:rFonts w:ascii="Cambria Math" w:hAnsi="Cambria Math"/>
                  </w:rPr>
                  <m:t>a</m:t>
                </m:r>
              </m:e>
              <m:sub>
                <m:r>
                  <w:rPr>
                    <w:rFonts w:ascii="Cambria Math" w:hAnsi="Cambria Math"/>
                  </w:rPr>
                  <m:t>i</m:t>
                </m:r>
              </m:sub>
            </m:sSub>
          </m:num>
          <m:den>
            <m:sSup>
              <m:sSupPr>
                <m:ctrlPr>
                  <w:rPr>
                    <w:rFonts w:ascii="Cambria Math" w:hAnsi="Cambria Math"/>
                  </w:rPr>
                </m:ctrlPr>
              </m:sSupPr>
              <m:e>
                <m:sSub>
                  <m:sSubPr>
                    <m:ctrlPr>
                      <w:rPr>
                        <w:rFonts w:ascii="Cambria Math" w:hAnsi="Cambria Math"/>
                      </w:rPr>
                    </m:ctrlPr>
                  </m:sSubPr>
                  <m:e>
                    <m:r>
                      <m:rPr>
                        <m:sty m:val="bi"/>
                      </m:rPr>
                      <w:rPr>
                        <w:rFonts w:ascii="Cambria Math" w:hAnsi="Cambria Math"/>
                      </w:rPr>
                      <m:t>a</m:t>
                    </m:r>
                  </m:e>
                  <m:sub>
                    <m:r>
                      <w:rPr>
                        <w:rFonts w:ascii="Cambria Math" w:hAnsi="Cambria Math"/>
                      </w:rPr>
                      <m:t>i</m:t>
                    </m:r>
                  </m:sub>
                </m:sSub>
              </m:e>
              <m:sup>
                <m:r>
                  <m:rPr>
                    <m:sty m:val="p"/>
                  </m:rPr>
                  <w:rPr>
                    <w:rFonts w:ascii="Cambria Math" w:hAnsi="Cambria Math"/>
                  </w:rPr>
                  <m:t>H</m:t>
                </m:r>
              </m:sup>
            </m:sSup>
            <m:sSub>
              <m:sSubPr>
                <m:ctrlPr>
                  <w:rPr>
                    <w:rFonts w:ascii="Cambria Math" w:hAnsi="Cambria Math"/>
                  </w:rPr>
                </m:ctrlPr>
              </m:sSubPr>
              <m:e>
                <m:r>
                  <m:rPr>
                    <m:sty m:val="b"/>
                  </m:rPr>
                  <w:rPr>
                    <w:rFonts w:ascii="Cambria Math" w:hAnsi="Cambria Math"/>
                  </w:rPr>
                  <m:t>P</m:t>
                </m:r>
              </m:e>
              <m:sub>
                <m:r>
                  <w:rPr>
                    <w:rFonts w:ascii="Cambria Math" w:hAnsi="Cambria Math"/>
                  </w:rPr>
                  <m:t>⊥</m:t>
                </m:r>
              </m:sub>
            </m:sSub>
            <m:sSub>
              <m:sSubPr>
                <m:ctrlPr>
                  <w:rPr>
                    <w:rFonts w:ascii="Cambria Math" w:hAnsi="Cambria Math"/>
                  </w:rPr>
                </m:ctrlPr>
              </m:sSubPr>
              <m:e>
                <m:r>
                  <m:rPr>
                    <m:sty m:val="bi"/>
                  </m:rPr>
                  <w:rPr>
                    <w:rFonts w:ascii="Cambria Math" w:hAnsi="Cambria Math"/>
                  </w:rPr>
                  <m:t>a</m:t>
                </m:r>
              </m:e>
              <m:sub>
                <m:r>
                  <w:rPr>
                    <w:rFonts w:ascii="Cambria Math" w:hAnsi="Cambria Math"/>
                  </w:rPr>
                  <m:t>i</m:t>
                </m:r>
              </m:sub>
            </m:sSub>
          </m:den>
        </m:f>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m:rPr>
                    <m:sty m:val="bi"/>
                  </m:rPr>
                  <w:rPr>
                    <w:rFonts w:ascii="Cambria Math" w:hAnsi="Cambria Math"/>
                  </w:rPr>
                  <m:t>w</m:t>
                </m:r>
              </m:e>
              <m:sub>
                <m:r>
                  <w:rPr>
                    <w:rFonts w:ascii="Cambria Math" w:hAnsi="Cambria Math"/>
                  </w:rPr>
                  <m:t>i</m:t>
                </m:r>
              </m:sub>
            </m:sSub>
          </m:e>
          <m:sup>
            <m:r>
              <m:rPr>
                <m:sty m:val="p"/>
              </m:rPr>
              <w:rPr>
                <w:rFonts w:ascii="Cambria Math" w:hAnsi="Cambria Math"/>
              </w:rPr>
              <m:t>H</m:t>
            </m:r>
          </m:sup>
        </m:sSup>
        <m:r>
          <m:rPr>
            <m:sty m:val="bi"/>
          </m:rPr>
          <w:rPr>
            <w:rFonts w:ascii="Cambria Math" w:hAnsi="Cambria Math"/>
          </w:rPr>
          <m:t>x</m:t>
        </m:r>
      </m:oMath>
      <w:r>
        <w:tab/>
      </w:r>
      <w:r>
        <w:t>（</w:t>
      </w:r>
      <w:r>
        <w:t>7-</w:t>
      </w:r>
      <w:r>
        <w:fldChar w:fldCharType="begin"/>
      </w:r>
      <w:r>
        <w:instrText xml:space="preserve"> SEQ Eq7 </w:instrText>
      </w:r>
      <w:r>
        <w:fldChar w:fldCharType="separate"/>
      </w:r>
      <w:r w:rsidR="005A5564">
        <w:rPr>
          <w:noProof/>
        </w:rPr>
        <w:t>6</w:t>
      </w:r>
      <w:r>
        <w:fldChar w:fldCharType="end"/>
      </w:r>
      <w:r>
        <w:t>）</w:t>
      </w:r>
    </w:p>
    <w:p w14:paraId="765887FA" w14:textId="77777777" w:rsidR="00824FB7" w:rsidRDefault="00EF6291">
      <w:r>
        <w:t>当欺骗源与某颗真实卫星方向接近时，零陷同时损伤该真实信号。方案不强行保留这颗星，而是根据投影保留增益与相关证据将其剔除，再利用其余卫星定位。</w:t>
      </w:r>
      <w:r>
        <w:t>24</w:t>
      </w:r>
      <w:r>
        <w:t>颗卫星增加了冗余机会，但可用性仍由剩余信号质量和几何决定；不能仅凭卫星总数保证定位，也不能把多个</w:t>
      </w:r>
      <w:r>
        <w:t>PRN</w:t>
      </w:r>
      <w:r>
        <w:t>视为多个独立物理欺骗源。</w:t>
      </w:r>
    </w:p>
    <w:p w14:paraId="3D6586BE" w14:textId="77777777" w:rsidR="00824FB7" w:rsidRDefault="00EF6291">
      <w:r>
        <w:t>单源零陷使</w:t>
      </w:r>
      <w:r>
        <w:t>M</w:t>
      </w:r>
      <w:r>
        <w:t>维阵列剩余</w:t>
      </w:r>
      <w:r>
        <w:t>M−1</w:t>
      </w:r>
      <w:r>
        <w:t>维。两天线仅剩一维，无法在残余空间内形成方向能量与正交能量的对照；三天线虽满足该指标的最小维数，实际保留增益和合格卫星数仍可能不足；四天线提供更多空间自由度，是当前优先方案。该维数分析只说明必要的可观测条件，不能单独证明某个阵列必然通过。</w:t>
      </w:r>
    </w:p>
    <w:p w14:paraId="7AEF09DA" w14:textId="77777777" w:rsidR="00824FB7" w:rsidRDefault="00EF6291">
      <w:r>
        <w:t>抑制后的真实信号还需通过方向证据检查。设</w:t>
      </w:r>
      <w:r>
        <w:t>C</w:t>
      </w:r>
      <w:r>
        <w:t>为残余空间中某</w:t>
      </w:r>
      <w:r>
        <w:t>PRN</w:t>
      </w:r>
      <w:r>
        <w:t>相关向量的协方差，</w:t>
      </w:r>
      <w:r>
        <w:t>v</w:t>
      </w:r>
      <w:r>
        <w:t>为单位化目标导向向量，</w:t>
      </w:r>
      <w:r>
        <w:t>d</w:t>
      </w:r>
      <w:r>
        <w:t>为残余维数，则方向能量比可写为式（</w:t>
      </w:r>
      <w:r>
        <w:t>7-7</w:t>
      </w:r>
      <w:r>
        <w:t>）。白噪声期望在各方向接近均匀，而真实目标倾向于在预测方向聚集；当前研究阈值为</w:t>
      </w:r>
      <w:r>
        <w:t>3</w:t>
      </w:r>
      <w:r>
        <w:t>，且要求残余维数至少为</w:t>
      </w:r>
      <w:r>
        <w:t>2</w:t>
      </w:r>
      <w:r>
        <w:t>。</w:t>
      </w:r>
    </w:p>
    <w:p w14:paraId="3F59E070" w14:textId="10FF695B" w:rsidR="00824FB7" w:rsidRDefault="00EF6291">
      <w:pPr>
        <w:tabs>
          <w:tab w:val="center" w:pos="4394"/>
          <w:tab w:val="right" w:pos="8787"/>
        </w:tabs>
        <w:spacing w:before="80" w:after="80"/>
        <w:ind w:firstLineChars="0" w:firstLine="0"/>
      </w:pPr>
      <w:r>
        <w:tab/>
      </w:r>
      <m:oMath>
        <m:sSub>
          <m:sSubPr>
            <m:ctrlPr>
              <w:rPr>
                <w:rFonts w:ascii="Cambria Math" w:hAnsi="Cambria Math"/>
              </w:rPr>
            </m:ctrlPr>
          </m:sSubPr>
          <m:e>
            <m:r>
              <m:rPr>
                <m:sty m:val="p"/>
              </m:rP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rPr>
            </m:ctrlPr>
          </m:fPr>
          <m:num>
            <m:sSup>
              <m:sSupPr>
                <m:ctrlPr>
                  <w:rPr>
                    <w:rFonts w:ascii="Cambria Math" w:hAnsi="Cambria Math"/>
                  </w:rPr>
                </m:ctrlPr>
              </m:sSupPr>
              <m:e>
                <m:r>
                  <m:rPr>
                    <m:sty m:val="bi"/>
                  </m:rPr>
                  <w:rPr>
                    <w:rFonts w:ascii="Cambria Math" w:hAnsi="Cambria Math"/>
                  </w:rPr>
                  <m:t>v</m:t>
                </m:r>
              </m:e>
              <m:sup>
                <m:r>
                  <m:rPr>
                    <m:sty m:val="p"/>
                  </m:rPr>
                  <w:rPr>
                    <w:rFonts w:ascii="Cambria Math" w:hAnsi="Cambria Math"/>
                  </w:rPr>
                  <m:t>H</m:t>
                </m:r>
              </m:sup>
            </m:sSup>
            <m:r>
              <m:rPr>
                <m:sty m:val="b"/>
              </m:rPr>
              <w:rPr>
                <w:rFonts w:ascii="Cambria Math" w:hAnsi="Cambria Math"/>
              </w:rPr>
              <m:t>C</m:t>
            </m:r>
            <m:r>
              <m:rPr>
                <m:sty m:val="bi"/>
              </m:rPr>
              <w:rPr>
                <w:rFonts w:ascii="Cambria Math" w:hAnsi="Cambria Math"/>
              </w:rPr>
              <m:t>v</m:t>
            </m:r>
          </m:num>
          <m:den>
            <m:r>
              <w:rPr>
                <w:rFonts w:ascii="Cambria Math" w:hAnsi="Cambria Math"/>
              </w:rPr>
              <m:t>(</m:t>
            </m:r>
            <m:r>
              <m:rPr>
                <m:sty m:val="p"/>
              </m:rPr>
              <w:rPr>
                <w:rFonts w:ascii="Cambria Math" w:hAnsi="Cambria Math"/>
              </w:rPr>
              <m:t>tr</m:t>
            </m:r>
            <m:r>
              <w:rPr>
                <w:rFonts w:ascii="Cambria Math" w:hAnsi="Cambria Math"/>
              </w:rPr>
              <m:t>(</m:t>
            </m:r>
            <m:r>
              <m:rPr>
                <m:sty m:val="b"/>
              </m:rPr>
              <w:rPr>
                <w:rFonts w:ascii="Cambria Math" w:hAnsi="Cambria Math"/>
              </w:rPr>
              <m:t>C</m:t>
            </m:r>
            <m:r>
              <w:rPr>
                <w:rFonts w:ascii="Cambria Math" w:hAnsi="Cambria Math"/>
              </w:rPr>
              <m:t>)-</m:t>
            </m:r>
            <m:sSup>
              <m:sSupPr>
                <m:ctrlPr>
                  <w:rPr>
                    <w:rFonts w:ascii="Cambria Math" w:hAnsi="Cambria Math"/>
                  </w:rPr>
                </m:ctrlPr>
              </m:sSupPr>
              <m:e>
                <m:r>
                  <m:rPr>
                    <m:sty m:val="bi"/>
                  </m:rPr>
                  <w:rPr>
                    <w:rFonts w:ascii="Cambria Math" w:hAnsi="Cambria Math"/>
                  </w:rPr>
                  <m:t>v</m:t>
                </m:r>
              </m:e>
              <m:sup>
                <m:r>
                  <m:rPr>
                    <m:sty m:val="p"/>
                  </m:rPr>
                  <w:rPr>
                    <w:rFonts w:ascii="Cambria Math" w:hAnsi="Cambria Math"/>
                  </w:rPr>
                  <m:t>H</m:t>
                </m:r>
              </m:sup>
            </m:sSup>
            <m:r>
              <m:rPr>
                <m:sty m:val="b"/>
              </m:rPr>
              <w:rPr>
                <w:rFonts w:ascii="Cambria Math" w:hAnsi="Cambria Math"/>
              </w:rPr>
              <m:t>C</m:t>
            </m:r>
            <m:r>
              <m:rPr>
                <m:sty m:val="bi"/>
              </m:rPr>
              <w:rPr>
                <w:rFonts w:ascii="Cambria Math" w:hAnsi="Cambria Math"/>
              </w:rPr>
              <m:t>v</m:t>
            </m:r>
            <m:r>
              <w:rPr>
                <w:rFonts w:ascii="Cambria Math" w:hAnsi="Cambria Math"/>
              </w:rPr>
              <m:t>)/(</m:t>
            </m:r>
            <m:r>
              <w:rPr>
                <w:rFonts w:ascii="Cambria Math" w:hAnsi="Cambria Math"/>
              </w:rPr>
              <m:t>d</m:t>
            </m:r>
            <m:r>
              <w:rPr>
                <w:rFonts w:ascii="Cambria Math" w:hAnsi="Cambria Math"/>
              </w:rPr>
              <m:t>-</m:t>
            </m:r>
            <m:r>
              <w:rPr>
                <w:rFonts w:ascii="Cambria Math" w:hAnsi="Cambria Math"/>
              </w:rPr>
              <m:t>1)</m:t>
            </m:r>
          </m:den>
        </m:f>
      </m:oMath>
      <w:r>
        <w:tab/>
      </w:r>
      <w:r>
        <w:t>（</w:t>
      </w:r>
      <w:r>
        <w:t>7-</w:t>
      </w:r>
      <w:r>
        <w:fldChar w:fldCharType="begin"/>
      </w:r>
      <w:r>
        <w:instrText xml:space="preserve"> SEQ Eq7 </w:instrText>
      </w:r>
      <w:r>
        <w:fldChar w:fldCharType="separate"/>
      </w:r>
      <w:r w:rsidR="005A5564">
        <w:rPr>
          <w:noProof/>
        </w:rPr>
        <w:t>7</w:t>
      </w:r>
      <w:r>
        <w:fldChar w:fldCharType="end"/>
      </w:r>
      <w:r>
        <w:t>）</w:t>
      </w:r>
    </w:p>
    <w:p w14:paraId="7604066B" w14:textId="77777777" w:rsidR="00824FB7" w:rsidRDefault="00EF6291">
      <w:r>
        <w:t>观测准入同时检查载噪比、锁定指标、投影保留增益和方向证据。当前研究值分别为</w:t>
      </w:r>
      <w:r>
        <w:t>25 dB-Hz</w:t>
      </w:r>
      <w:r>
        <w:t>、</w:t>
      </w:r>
      <w:r>
        <w:t>0.5</w:t>
      </w:r>
      <w:r>
        <w:t>、</w:t>
      </w:r>
      <w:r>
        <w:t>0.05</w:t>
      </w:r>
      <w:r>
        <w:t>和</w:t>
      </w:r>
      <w:r>
        <w:t>3</w:t>
      </w:r>
      <w:r>
        <w:t>。这些条件用于决定哪些测量进入导航，不能被解释为相互独立的多重安全证明。未通过准入的测量不参与有效位置更新，且不能以增加名义星数掩盖抑制后的真实测量损失。</w:t>
      </w:r>
    </w:p>
    <w:p w14:paraId="13773FFE" w14:textId="77777777" w:rsidR="00824FB7" w:rsidRDefault="00EF6291">
      <w:pPr>
        <w:pStyle w:val="2"/>
        <w:numPr>
          <w:ilvl w:val="1"/>
          <w:numId w:val="1"/>
        </w:numPr>
      </w:pPr>
      <w:r>
        <w:t>导航接续与输出策略</w:t>
      </w:r>
    </w:p>
    <w:p w14:paraId="60DEB655" w14:textId="77777777" w:rsidR="00824FB7" w:rsidRDefault="00EF6291">
      <w:r>
        <w:t>导航采用码伪距提供绝对位置约束，以载波变化平滑噪声并提供短时位移约束。针对一次观测筛选失败导致平滑状态被重置的问题，保留最近已接受的同跟踪弧历史。式（</w:t>
      </w:r>
      <w:r>
        <w:t>7-8</w:t>
      </w:r>
      <w:r>
        <w:t>）中，</w:t>
      </w:r>
      <w:r>
        <w:t>S</w:t>
      </w:r>
      <w:r>
        <w:t>为平滑伪距，</w:t>
      </w:r>
      <w:r>
        <w:t>ρ</w:t>
      </w:r>
      <w:r>
        <w:t>为码伪距，</w:t>
      </w:r>
      <w:r>
        <w:t>L</w:t>
      </w:r>
      <w:r>
        <w:t>为以米计的载波观测，</w:t>
      </w:r>
      <w:r>
        <w:t>j</w:t>
      </w:r>
      <w:r>
        <w:t>为上次接受历元；权重按实际接受的样本数计算，当前窗口上限为</w:t>
      </w:r>
      <w:r>
        <w:t>20</w:t>
      </w:r>
      <w:r>
        <w:t>。</w:t>
      </w:r>
    </w:p>
    <w:p w14:paraId="5B05CA85" w14:textId="1F08EB7A" w:rsidR="00824FB7" w:rsidRDefault="00EF6291">
      <w:pPr>
        <w:tabs>
          <w:tab w:val="center" w:pos="4394"/>
          <w:tab w:val="right" w:pos="8787"/>
        </w:tabs>
        <w:spacing w:before="80" w:after="80"/>
        <w:ind w:firstLineChars="0" w:firstLine="0"/>
      </w:pPr>
      <w:r>
        <w:tab/>
      </w:r>
      <m:oMath>
        <m:sSub>
          <m:sSubPr>
            <m:ctrlPr>
              <w:rPr>
                <w:rFonts w:ascii="Cambria Math" w:hAnsi="Cambria Math"/>
              </w:rPr>
            </m:ctrlPr>
          </m:sSubPr>
          <m:e>
            <m:r>
              <w:rPr>
                <w:rFonts w:ascii="Cambria Math" w:hAnsi="Cambria Math"/>
              </w:rPr>
              <m:t>S</m:t>
            </m:r>
          </m:e>
          <m:sub>
            <m:r>
              <w:rPr>
                <w:rFonts w:ascii="Cambria Math" w:hAnsi="Cambria Math"/>
              </w:rPr>
              <m:t>i</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ρ</m:t>
            </m:r>
          </m:e>
          <m:sub>
            <m:r>
              <w:rPr>
                <w:rFonts w:ascii="Cambria Math" w:hAnsi="Cambria Math"/>
              </w:rPr>
              <m:t>i</m:t>
            </m:r>
            <m:r>
              <w:rPr>
                <w:rFonts w:ascii="Cambria Math" w:hAnsi="Cambria Math"/>
              </w:rPr>
              <m:t>,</m:t>
            </m:r>
            <m:r>
              <w:rPr>
                <w:rFonts w:ascii="Cambria Math" w:hAnsi="Cambria Math"/>
              </w:rPr>
              <m:t>k</m:t>
            </m:r>
          </m:sub>
        </m:sSub>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i</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w:rPr>
                <w:rFonts w:ascii="Cambria Math" w:hAnsi="Cambria Math"/>
              </w:rPr>
              <m:t>,</m:t>
            </m:r>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r>
              <w:rPr>
                <w:rFonts w:ascii="Cambria Math" w:hAnsi="Cambria Math"/>
              </w:rPr>
              <m:t>,</m:t>
            </m:r>
            <m:r>
              <w:rPr>
                <w:rFonts w:ascii="Cambria Math" w:hAnsi="Cambria Math"/>
              </w:rPr>
              <m:t>j</m:t>
            </m:r>
          </m:sub>
        </m:sSub>
        <m:r>
          <w:rPr>
            <w:rFonts w:ascii="Cambria Math" w:hAnsi="Cambria Math"/>
          </w:rPr>
          <m:t>)</m:t>
        </m:r>
      </m:oMath>
      <w:r>
        <w:tab/>
      </w:r>
      <w:r>
        <w:t>（</w:t>
      </w:r>
      <w:r>
        <w:t>7-</w:t>
      </w:r>
      <w:r>
        <w:fldChar w:fldCharType="begin"/>
      </w:r>
      <w:r>
        <w:instrText xml:space="preserve"> SEQ Eq7 </w:instrText>
      </w:r>
      <w:r>
        <w:fldChar w:fldCharType="separate"/>
      </w:r>
      <w:r w:rsidR="005A5564">
        <w:rPr>
          <w:noProof/>
        </w:rPr>
        <w:t>8</w:t>
      </w:r>
      <w:r>
        <w:fldChar w:fldCharType="end"/>
      </w:r>
      <w:r>
        <w:t>）</w:t>
      </w:r>
    </w:p>
    <w:p w14:paraId="083742E3" w14:textId="77777777" w:rsidR="00824FB7" w:rsidRDefault="00EF6291">
      <w:r>
        <w:t>当前</w:t>
      </w:r>
      <w:r>
        <w:t>10 ms</w:t>
      </w:r>
      <w:r>
        <w:t>输出网格允许同弧历史跨越一个被拒历元，时间范围限制为</w:t>
      </w:r>
      <w:r>
        <w:t>25 ms</w:t>
      </w:r>
      <w:r>
        <w:t>，并保留原有</w:t>
      </w:r>
      <w:r>
        <w:t>50 m</w:t>
      </w:r>
      <w:r>
        <w:t>码载波预测差检查。被拒观测不更新平滑状态；实际重捕或超过允</w:t>
      </w:r>
      <w:r>
        <w:lastRenderedPageBreak/>
        <w:t>许间隔时重新建立状态。该机制修复的是筛选间隙导致的信息丢弃，不能恢复真正不存在的信号，也不能保证识别所有未检测周跳。</w:t>
      </w:r>
    </w:p>
    <w:p w14:paraId="4B0DA786" w14:textId="77777777" w:rsidR="00824FB7" w:rsidRDefault="00EF6291">
      <w:r>
        <w:t>短时位置接续只以已经发布的位置为参考，利用当前与参考历元共同卫星的实际载波变化估计位移。当前要求至少</w:t>
      </w:r>
      <w:r>
        <w:t>5</w:t>
      </w:r>
      <w:r>
        <w:t>颗同弧共同星、几何条件数不超过</w:t>
      </w:r>
      <w:r>
        <w:t>1000</w:t>
      </w:r>
      <w:r>
        <w:t>、最大拟合残差不超过</w:t>
      </w:r>
      <w:r>
        <w:t>0.1 m</w:t>
      </w:r>
      <w:r>
        <w:t>、水平增量标准差不超过</w:t>
      </w:r>
      <w:r>
        <w:t>0.5 m</w:t>
      </w:r>
      <w:r>
        <w:t>；通过时与码位置进行融合。位移估计不能直接继承仿真真实速度，载波小残差也不能证明参考绝对位置正确。</w:t>
      </w:r>
    </w:p>
    <w:p w14:paraId="65E0AE32" w14:textId="77777777" w:rsidR="00824FB7" w:rsidRDefault="00EF6291">
      <w:r>
        <w:t>码解通过留一星位置分离进行一致性检查，当前使用</w:t>
      </w:r>
      <w:r>
        <w:t>20 m</w:t>
      </w:r>
      <w:r>
        <w:t>研究阈值。该分离量衡量内部一致性，不是实际位置误差上界；多个测量共享偏差时仍可能产生一致而错误的位置。现有输出还包含连续</w:t>
      </w:r>
      <w:r>
        <w:t>10</w:t>
      </w:r>
      <w:r>
        <w:t>历元恢复确认和受限载波桥接。商用阶段必须另行建立误差界、告警时延及错误发布概率的验证口径，不能仅将这些经验阈值组合后宣称达到完整性要求。</w:t>
      </w:r>
    </w:p>
    <w:p w14:paraId="7787B14B" w14:textId="77777777" w:rsidR="00824FB7" w:rsidRDefault="00EF6291">
      <w:r>
        <w:t>产品接口建议明确区分正常导航、抑制后导航、短时接续和不可用状态，附带位置时间戳及质量信息。没有足够可信观测时停止发布新的有效位置；界面如保留历史点，应明确标注其时间和无效状态。真实信号完全消失时，本方案当前只能保护输出；若要长期导航，必须引入经独立约束的惯性、视觉或其他可信观测，并单独验证误差增长。</w:t>
      </w:r>
    </w:p>
    <w:p w14:paraId="2BA97120" w14:textId="77777777" w:rsidR="00824FB7" w:rsidRDefault="00EF6291">
      <w:pPr>
        <w:pStyle w:val="2"/>
        <w:numPr>
          <w:ilvl w:val="1"/>
          <w:numId w:val="1"/>
        </w:numPr>
      </w:pPr>
      <w:r>
        <w:t>工程误差与实现条件</w:t>
      </w:r>
    </w:p>
    <w:p w14:paraId="1E659B3D" w14:textId="77777777" w:rsidR="00824FB7" w:rsidRDefault="00EF6291">
      <w:r>
        <w:t>空间零陷对阵列响应误差敏感。相位误差可由基线投影误差、通道时延和残余振荡器差异等共同构成。以频率为</w:t>
      </w:r>
      <w:r>
        <w:t>f</w:t>
      </w:r>
      <w:r>
        <w:t>的载波为例，通道残余时延</w:t>
      </w:r>
      <w:r>
        <w:t>Δτ</w:t>
      </w:r>
      <w:r>
        <w:t>对应相位偏差如式（</w:t>
      </w:r>
      <w:r>
        <w:t>7-9</w:t>
      </w:r>
      <w:r>
        <w:t>）。稳定的公共项可通过标定或差分减弱，随温度、方向及时间变化的误差需要在线估计或重新标定；数字域抑制无法恢复已在模拟前端饱和中丢失的信息。</w:t>
      </w:r>
    </w:p>
    <w:p w14:paraId="3B0138FE" w14:textId="56C0DAB2" w:rsidR="00824FB7" w:rsidRDefault="00EF6291">
      <w:pPr>
        <w:tabs>
          <w:tab w:val="center" w:pos="4394"/>
          <w:tab w:val="right" w:pos="8787"/>
        </w:tabs>
        <w:spacing w:before="80" w:after="80"/>
        <w:ind w:firstLineChars="0" w:firstLine="0"/>
      </w:pPr>
      <w:r>
        <w:tab/>
      </w:r>
      <m:oMath>
        <m:r>
          <w:rPr>
            <w:rFonts w:ascii="Cambria Math" w:hAnsi="Cambria Math"/>
          </w:rPr>
          <m:t>Δφ</m:t>
        </m:r>
        <m:r>
          <w:rPr>
            <w:rFonts w:ascii="Cambria Math" w:hAnsi="Cambria Math"/>
          </w:rPr>
          <m:t>=2</m:t>
        </m:r>
        <m:r>
          <w:rPr>
            <w:rFonts w:ascii="Cambria Math" w:hAnsi="Cambria Math"/>
          </w:rPr>
          <m:t>πfΔτ</m:t>
        </m:r>
      </m:oMath>
      <w:r>
        <w:tab/>
      </w:r>
      <w:r>
        <w:t>（</w:t>
      </w:r>
      <w:r>
        <w:t>7-</w:t>
      </w:r>
      <w:r>
        <w:fldChar w:fldCharType="begin"/>
      </w:r>
      <w:r>
        <w:instrText xml:space="preserve"> SEQ Eq7 </w:instrText>
      </w:r>
      <w:r>
        <w:fldChar w:fldCharType="separate"/>
      </w:r>
      <w:r w:rsidR="005A5564">
        <w:rPr>
          <w:noProof/>
        </w:rPr>
        <w:t>9</w:t>
      </w:r>
      <w:r>
        <w:fldChar w:fldCharType="end"/>
      </w:r>
      <w:r>
        <w:t>）</w:t>
      </w:r>
    </w:p>
    <w:p w14:paraId="38F44D34" w14:textId="77777777" w:rsidR="00824FB7" w:rsidRDefault="00EF6291">
      <w:r>
        <w:t>主要工程误差及其处理安排见表</w:t>
      </w:r>
      <w:r>
        <w:t>7-1</w:t>
      </w:r>
      <w:r>
        <w:t>。表中措施是工程设计与验证要求，不代表当前仿真已经实现或验收。</w:t>
      </w:r>
    </w:p>
    <w:p w14:paraId="0F429112" w14:textId="7B2479E0" w:rsidR="00824FB7" w:rsidRDefault="00EF6291">
      <w:pPr>
        <w:pStyle w:val="af7"/>
        <w:keepNext/>
        <w:jc w:val="center"/>
      </w:pPr>
      <w:r>
        <w:t>表</w:t>
      </w:r>
      <w:r>
        <w:t>7-</w:t>
      </w:r>
      <w:r>
        <w:fldChar w:fldCharType="begin"/>
      </w:r>
      <w:r>
        <w:instrText xml:space="preserve"> SEQ Table7 </w:instrText>
      </w:r>
      <w:r>
        <w:fldChar w:fldCharType="separate"/>
      </w:r>
      <w:r w:rsidR="005A5564">
        <w:rPr>
          <w:noProof/>
        </w:rPr>
        <w:t>1</w:t>
      </w:r>
      <w:r>
        <w:fldChar w:fldCharType="end"/>
      </w:r>
      <w:r>
        <w:t xml:space="preserve"> </w:t>
      </w:r>
      <w:r>
        <w:t>工程误差与验证安排</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57"/>
        <w:gridCol w:w="2608"/>
        <w:gridCol w:w="4422"/>
      </w:tblGrid>
      <w:tr w:rsidR="00824FB7" w14:paraId="1FDF2402" w14:textId="77777777">
        <w:trPr>
          <w:cantSplit/>
          <w:tblHeader/>
          <w:jc w:val="center"/>
        </w:trPr>
        <w:tc>
          <w:tcPr>
            <w:tcW w:w="1757" w:type="dxa"/>
            <w:tcBorders>
              <w:bottom w:val="single" w:sz="6" w:space="0" w:color="000000"/>
            </w:tcBorders>
            <w:vAlign w:val="center"/>
          </w:tcPr>
          <w:p w14:paraId="07C41677" w14:textId="77777777" w:rsidR="00824FB7" w:rsidRDefault="00EF6291">
            <w:pPr>
              <w:spacing w:before="80" w:after="80" w:line="276" w:lineRule="auto"/>
              <w:ind w:firstLineChars="0" w:firstLine="0"/>
            </w:pPr>
            <w:r>
              <w:rPr>
                <w:b/>
                <w:sz w:val="21"/>
              </w:rPr>
              <w:t>误差来源</w:t>
            </w:r>
          </w:p>
        </w:tc>
        <w:tc>
          <w:tcPr>
            <w:tcW w:w="2608" w:type="dxa"/>
            <w:tcBorders>
              <w:bottom w:val="single" w:sz="6" w:space="0" w:color="000000"/>
            </w:tcBorders>
            <w:vAlign w:val="center"/>
          </w:tcPr>
          <w:p w14:paraId="089E8C2E" w14:textId="77777777" w:rsidR="00824FB7" w:rsidRDefault="00EF6291">
            <w:pPr>
              <w:spacing w:before="80" w:after="80" w:line="276" w:lineRule="auto"/>
              <w:ind w:firstLineChars="0" w:firstLine="0"/>
            </w:pPr>
            <w:r>
              <w:rPr>
                <w:b/>
                <w:sz w:val="21"/>
              </w:rPr>
              <w:t>对检测与抑制的影响</w:t>
            </w:r>
          </w:p>
        </w:tc>
        <w:tc>
          <w:tcPr>
            <w:tcW w:w="4422" w:type="dxa"/>
            <w:tcBorders>
              <w:bottom w:val="single" w:sz="6" w:space="0" w:color="000000"/>
            </w:tcBorders>
            <w:vAlign w:val="center"/>
          </w:tcPr>
          <w:p w14:paraId="457475FC" w14:textId="77777777" w:rsidR="00824FB7" w:rsidRDefault="00EF6291">
            <w:pPr>
              <w:spacing w:before="80" w:after="80" w:line="276" w:lineRule="auto"/>
              <w:ind w:firstLineChars="0" w:firstLine="0"/>
            </w:pPr>
            <w:r>
              <w:rPr>
                <w:b/>
                <w:sz w:val="21"/>
              </w:rPr>
              <w:t>工程处理与验证</w:t>
            </w:r>
          </w:p>
        </w:tc>
      </w:tr>
      <w:tr w:rsidR="00824FB7" w14:paraId="21B50B46" w14:textId="77777777">
        <w:trPr>
          <w:cantSplit/>
          <w:jc w:val="center"/>
        </w:trPr>
        <w:tc>
          <w:tcPr>
            <w:tcW w:w="1757" w:type="dxa"/>
            <w:vAlign w:val="center"/>
          </w:tcPr>
          <w:p w14:paraId="4E7523F0" w14:textId="77777777" w:rsidR="00824FB7" w:rsidRDefault="00EF6291">
            <w:pPr>
              <w:spacing w:before="80" w:after="80" w:line="276" w:lineRule="auto"/>
              <w:ind w:firstLineChars="0" w:firstLine="0"/>
            </w:pPr>
            <w:r>
              <w:rPr>
                <w:sz w:val="21"/>
              </w:rPr>
              <w:t>时钟、采样及通道时延</w:t>
            </w:r>
          </w:p>
        </w:tc>
        <w:tc>
          <w:tcPr>
            <w:tcW w:w="2608" w:type="dxa"/>
            <w:vAlign w:val="center"/>
          </w:tcPr>
          <w:p w14:paraId="7EF08567" w14:textId="77777777" w:rsidR="00824FB7" w:rsidRDefault="00EF6291">
            <w:pPr>
              <w:spacing w:before="80" w:after="80" w:line="276" w:lineRule="auto"/>
              <w:ind w:firstLineChars="0" w:firstLine="0"/>
            </w:pPr>
            <w:r>
              <w:rPr>
                <w:sz w:val="21"/>
              </w:rPr>
              <w:t>共同方向被扭曲，零陷变浅</w:t>
            </w:r>
          </w:p>
        </w:tc>
        <w:tc>
          <w:tcPr>
            <w:tcW w:w="4422" w:type="dxa"/>
            <w:vAlign w:val="center"/>
          </w:tcPr>
          <w:p w14:paraId="6C3AAABD" w14:textId="77777777" w:rsidR="00824FB7" w:rsidRDefault="00EF6291">
            <w:pPr>
              <w:spacing w:before="80" w:after="80" w:line="276" w:lineRule="auto"/>
              <w:ind w:firstLineChars="0" w:firstLine="0"/>
            </w:pPr>
            <w:r>
              <w:rPr>
                <w:sz w:val="21"/>
              </w:rPr>
              <w:t>共参考与同步采样；测量残余时延、漂移和相位噪声</w:t>
            </w:r>
          </w:p>
        </w:tc>
      </w:tr>
      <w:tr w:rsidR="00824FB7" w14:paraId="758FE318" w14:textId="77777777">
        <w:trPr>
          <w:cantSplit/>
          <w:jc w:val="center"/>
        </w:trPr>
        <w:tc>
          <w:tcPr>
            <w:tcW w:w="1757" w:type="dxa"/>
            <w:vAlign w:val="center"/>
          </w:tcPr>
          <w:p w14:paraId="397E4496" w14:textId="77777777" w:rsidR="00824FB7" w:rsidRDefault="00EF6291">
            <w:pPr>
              <w:spacing w:before="80" w:after="80" w:line="276" w:lineRule="auto"/>
              <w:ind w:firstLineChars="0" w:firstLine="0"/>
            </w:pPr>
            <w:r>
              <w:rPr>
                <w:sz w:val="21"/>
              </w:rPr>
              <w:lastRenderedPageBreak/>
              <w:t>幅相不一致及温漂</w:t>
            </w:r>
          </w:p>
        </w:tc>
        <w:tc>
          <w:tcPr>
            <w:tcW w:w="2608" w:type="dxa"/>
            <w:vAlign w:val="center"/>
          </w:tcPr>
          <w:p w14:paraId="3C1A0542" w14:textId="77777777" w:rsidR="00824FB7" w:rsidRDefault="00EF6291">
            <w:pPr>
              <w:spacing w:before="80" w:after="80" w:line="276" w:lineRule="auto"/>
              <w:ind w:firstLineChars="0" w:firstLine="0"/>
            </w:pPr>
            <w:r>
              <w:rPr>
                <w:sz w:val="21"/>
              </w:rPr>
              <w:t>真实方向模型失配，可能误拒</w:t>
            </w:r>
          </w:p>
        </w:tc>
        <w:tc>
          <w:tcPr>
            <w:tcW w:w="4422" w:type="dxa"/>
            <w:vAlign w:val="center"/>
          </w:tcPr>
          <w:p w14:paraId="4D489BDA" w14:textId="77777777" w:rsidR="00824FB7" w:rsidRDefault="00EF6291">
            <w:pPr>
              <w:spacing w:before="80" w:after="80" w:line="276" w:lineRule="auto"/>
              <w:ind w:firstLineChars="0" w:firstLine="0"/>
            </w:pPr>
            <w:r>
              <w:rPr>
                <w:sz w:val="21"/>
              </w:rPr>
              <w:t>启动标定与温度扫描；验证更新过程不吸收欺骗分量</w:t>
            </w:r>
          </w:p>
        </w:tc>
      </w:tr>
      <w:tr w:rsidR="00824FB7" w14:paraId="793F8C1A" w14:textId="77777777">
        <w:trPr>
          <w:cantSplit/>
          <w:jc w:val="center"/>
        </w:trPr>
        <w:tc>
          <w:tcPr>
            <w:tcW w:w="1757" w:type="dxa"/>
            <w:vAlign w:val="center"/>
          </w:tcPr>
          <w:p w14:paraId="2C07F4F3" w14:textId="77777777" w:rsidR="00824FB7" w:rsidRDefault="00EF6291">
            <w:pPr>
              <w:spacing w:before="80" w:after="80" w:line="276" w:lineRule="auto"/>
              <w:ind w:firstLineChars="0" w:firstLine="0"/>
            </w:pPr>
            <w:r>
              <w:rPr>
                <w:sz w:val="21"/>
              </w:rPr>
              <w:t>互耦、方向图及相位中心</w:t>
            </w:r>
          </w:p>
        </w:tc>
        <w:tc>
          <w:tcPr>
            <w:tcW w:w="2608" w:type="dxa"/>
            <w:vAlign w:val="center"/>
          </w:tcPr>
          <w:p w14:paraId="484CD10A" w14:textId="77777777" w:rsidR="00824FB7" w:rsidRDefault="00EF6291">
            <w:pPr>
              <w:spacing w:before="80" w:after="80" w:line="276" w:lineRule="auto"/>
              <w:ind w:firstLineChars="0" w:firstLine="0"/>
            </w:pPr>
            <w:r>
              <w:rPr>
                <w:sz w:val="21"/>
              </w:rPr>
              <w:t>误差随入射方向变化</w:t>
            </w:r>
          </w:p>
        </w:tc>
        <w:tc>
          <w:tcPr>
            <w:tcW w:w="4422" w:type="dxa"/>
            <w:vAlign w:val="center"/>
          </w:tcPr>
          <w:p w14:paraId="45FC4067" w14:textId="77777777" w:rsidR="00824FB7" w:rsidRDefault="00EF6291">
            <w:pPr>
              <w:spacing w:before="80" w:after="80" w:line="276" w:lineRule="auto"/>
              <w:ind w:firstLineChars="0" w:firstLine="0"/>
            </w:pPr>
            <w:r>
              <w:rPr>
                <w:sz w:val="21"/>
              </w:rPr>
              <w:t>实测阵列流形；覆盖装配、握持及机壳影响</w:t>
            </w:r>
          </w:p>
        </w:tc>
      </w:tr>
      <w:tr w:rsidR="00824FB7" w14:paraId="228CE39B" w14:textId="77777777">
        <w:trPr>
          <w:cantSplit/>
          <w:jc w:val="center"/>
        </w:trPr>
        <w:tc>
          <w:tcPr>
            <w:tcW w:w="1757" w:type="dxa"/>
            <w:vAlign w:val="center"/>
          </w:tcPr>
          <w:p w14:paraId="15EEB5BD" w14:textId="77777777" w:rsidR="00824FB7" w:rsidRDefault="00EF6291">
            <w:pPr>
              <w:spacing w:before="80" w:after="80" w:line="276" w:lineRule="auto"/>
              <w:ind w:firstLineChars="0" w:firstLine="0"/>
            </w:pPr>
            <w:r>
              <w:rPr>
                <w:sz w:val="21"/>
              </w:rPr>
              <w:t>姿态变化与基线误差</w:t>
            </w:r>
          </w:p>
        </w:tc>
        <w:tc>
          <w:tcPr>
            <w:tcW w:w="2608" w:type="dxa"/>
            <w:vAlign w:val="center"/>
          </w:tcPr>
          <w:p w14:paraId="01BEC38B" w14:textId="77777777" w:rsidR="00824FB7" w:rsidRDefault="00EF6291">
            <w:pPr>
              <w:spacing w:before="80" w:after="80" w:line="276" w:lineRule="auto"/>
              <w:ind w:firstLineChars="0" w:firstLine="0"/>
            </w:pPr>
            <w:r>
              <w:rPr>
                <w:sz w:val="21"/>
              </w:rPr>
              <w:t>预测卫星响应偏离实际</w:t>
            </w:r>
          </w:p>
        </w:tc>
        <w:tc>
          <w:tcPr>
            <w:tcW w:w="4422" w:type="dxa"/>
            <w:vAlign w:val="center"/>
          </w:tcPr>
          <w:p w14:paraId="0E606199" w14:textId="77777777" w:rsidR="00824FB7" w:rsidRDefault="00EF6291">
            <w:pPr>
              <w:spacing w:before="80" w:after="80" w:line="276" w:lineRule="auto"/>
              <w:ind w:firstLineChars="0" w:firstLine="0"/>
            </w:pPr>
            <w:r>
              <w:rPr>
                <w:sz w:val="21"/>
              </w:rPr>
              <w:t>固定支架先验验证；手持阶段增加姿态估计及误差建模</w:t>
            </w:r>
          </w:p>
        </w:tc>
      </w:tr>
      <w:tr w:rsidR="00824FB7" w14:paraId="13101180" w14:textId="77777777">
        <w:trPr>
          <w:cantSplit/>
          <w:jc w:val="center"/>
        </w:trPr>
        <w:tc>
          <w:tcPr>
            <w:tcW w:w="1757" w:type="dxa"/>
            <w:vAlign w:val="center"/>
          </w:tcPr>
          <w:p w14:paraId="1204848F" w14:textId="77777777" w:rsidR="00824FB7" w:rsidRDefault="00EF6291">
            <w:pPr>
              <w:spacing w:before="80" w:after="80" w:line="276" w:lineRule="auto"/>
              <w:ind w:firstLineChars="0" w:firstLine="0"/>
            </w:pPr>
            <w:r>
              <w:rPr>
                <w:sz w:val="21"/>
              </w:rPr>
              <w:t>多径、遮挡与近源几何</w:t>
            </w:r>
          </w:p>
        </w:tc>
        <w:tc>
          <w:tcPr>
            <w:tcW w:w="2608" w:type="dxa"/>
            <w:vAlign w:val="center"/>
          </w:tcPr>
          <w:p w14:paraId="525E0DDB" w14:textId="77777777" w:rsidR="00824FB7" w:rsidRDefault="00EF6291">
            <w:pPr>
              <w:spacing w:before="80" w:after="80" w:line="276" w:lineRule="auto"/>
              <w:ind w:firstLineChars="0" w:firstLine="0"/>
            </w:pPr>
            <w:r>
              <w:rPr>
                <w:sz w:val="21"/>
              </w:rPr>
              <w:t>共源近似失效，真实增益降低</w:t>
            </w:r>
          </w:p>
        </w:tc>
        <w:tc>
          <w:tcPr>
            <w:tcW w:w="4422" w:type="dxa"/>
            <w:vAlign w:val="center"/>
          </w:tcPr>
          <w:p w14:paraId="7D467554" w14:textId="77777777" w:rsidR="00824FB7" w:rsidRDefault="00EF6291">
            <w:pPr>
              <w:spacing w:before="80" w:after="80" w:line="276" w:lineRule="auto"/>
              <w:ind w:firstLineChars="0" w:firstLine="0"/>
            </w:pPr>
            <w:r>
              <w:rPr>
                <w:sz w:val="21"/>
              </w:rPr>
              <w:t>保持单物理源范围，增加反射传播和遮挡工况</w:t>
            </w:r>
          </w:p>
        </w:tc>
      </w:tr>
      <w:tr w:rsidR="00824FB7" w14:paraId="16DCE04B" w14:textId="77777777">
        <w:trPr>
          <w:cantSplit/>
          <w:jc w:val="center"/>
        </w:trPr>
        <w:tc>
          <w:tcPr>
            <w:tcW w:w="1757" w:type="dxa"/>
            <w:vAlign w:val="center"/>
          </w:tcPr>
          <w:p w14:paraId="6A7C2A3F" w14:textId="77777777" w:rsidR="00824FB7" w:rsidRDefault="00EF6291">
            <w:pPr>
              <w:spacing w:before="80" w:after="80" w:line="276" w:lineRule="auto"/>
              <w:ind w:firstLineChars="0" w:firstLine="0"/>
            </w:pPr>
            <w:r>
              <w:rPr>
                <w:sz w:val="21"/>
              </w:rPr>
              <w:t>AGC</w:t>
            </w:r>
            <w:r>
              <w:rPr>
                <w:sz w:val="21"/>
              </w:rPr>
              <w:t>、量化及前端饱和</w:t>
            </w:r>
          </w:p>
        </w:tc>
        <w:tc>
          <w:tcPr>
            <w:tcW w:w="2608" w:type="dxa"/>
            <w:vAlign w:val="center"/>
          </w:tcPr>
          <w:p w14:paraId="386DAF6B" w14:textId="77777777" w:rsidR="00824FB7" w:rsidRDefault="00EF6291">
            <w:pPr>
              <w:spacing w:before="80" w:after="80" w:line="276" w:lineRule="auto"/>
              <w:ind w:firstLineChars="0" w:firstLine="0"/>
            </w:pPr>
            <w:r>
              <w:rPr>
                <w:sz w:val="21"/>
              </w:rPr>
              <w:t>弱真实信号失真或不可恢复</w:t>
            </w:r>
          </w:p>
        </w:tc>
        <w:tc>
          <w:tcPr>
            <w:tcW w:w="4422" w:type="dxa"/>
            <w:vAlign w:val="center"/>
          </w:tcPr>
          <w:p w14:paraId="62EF715D" w14:textId="77777777" w:rsidR="00824FB7" w:rsidRDefault="00EF6291">
            <w:pPr>
              <w:spacing w:before="80" w:after="80" w:line="276" w:lineRule="auto"/>
              <w:ind w:firstLineChars="0" w:firstLine="0"/>
            </w:pPr>
            <w:r>
              <w:rPr>
                <w:sz w:val="21"/>
              </w:rPr>
              <w:t>验证动态范围、增益切换及强干扰线性度</w:t>
            </w:r>
          </w:p>
        </w:tc>
      </w:tr>
      <w:tr w:rsidR="00824FB7" w14:paraId="20066DED" w14:textId="77777777">
        <w:trPr>
          <w:cantSplit/>
          <w:jc w:val="center"/>
        </w:trPr>
        <w:tc>
          <w:tcPr>
            <w:tcW w:w="1757" w:type="dxa"/>
            <w:vAlign w:val="center"/>
          </w:tcPr>
          <w:p w14:paraId="3295591D" w14:textId="77777777" w:rsidR="00824FB7" w:rsidRDefault="00EF6291">
            <w:pPr>
              <w:spacing w:before="80" w:after="80" w:line="276" w:lineRule="auto"/>
              <w:ind w:firstLineChars="0" w:firstLine="0"/>
            </w:pPr>
            <w:r>
              <w:rPr>
                <w:sz w:val="21"/>
              </w:rPr>
              <w:t>周跳、错误历史与辅助信息</w:t>
            </w:r>
          </w:p>
        </w:tc>
        <w:tc>
          <w:tcPr>
            <w:tcW w:w="2608" w:type="dxa"/>
            <w:vAlign w:val="center"/>
          </w:tcPr>
          <w:p w14:paraId="26888C65" w14:textId="77777777" w:rsidR="00824FB7" w:rsidRDefault="00EF6291">
            <w:pPr>
              <w:spacing w:before="80" w:after="80" w:line="276" w:lineRule="auto"/>
              <w:ind w:firstLineChars="0" w:firstLine="0"/>
            </w:pPr>
            <w:r>
              <w:rPr>
                <w:sz w:val="21"/>
              </w:rPr>
              <w:t>位移连续但绝对位置可能错误</w:t>
            </w:r>
          </w:p>
        </w:tc>
        <w:tc>
          <w:tcPr>
            <w:tcW w:w="4422" w:type="dxa"/>
            <w:vAlign w:val="center"/>
          </w:tcPr>
          <w:p w14:paraId="5F7ED6E1" w14:textId="77777777" w:rsidR="00824FB7" w:rsidRDefault="00EF6291">
            <w:pPr>
              <w:spacing w:before="80" w:after="80" w:line="276" w:lineRule="auto"/>
              <w:ind w:firstLineChars="0" w:firstLine="0"/>
            </w:pPr>
            <w:r>
              <w:rPr>
                <w:sz w:val="21"/>
              </w:rPr>
              <w:t>周跳检测、历史状态审计及星历和粗时标来源验证</w:t>
            </w:r>
          </w:p>
        </w:tc>
      </w:tr>
    </w:tbl>
    <w:p w14:paraId="31B3DE10" w14:textId="77777777" w:rsidR="00824FB7" w:rsidRDefault="00EF6291">
      <w:pPr>
        <w:pStyle w:val="2"/>
        <w:numPr>
          <w:ilvl w:val="1"/>
          <w:numId w:val="1"/>
        </w:numPr>
      </w:pPr>
      <w:r>
        <w:t>仿真验证结果与可行性判断</w:t>
      </w:r>
    </w:p>
    <w:p w14:paraId="5C5AD1CB" w14:textId="77777777" w:rsidR="00824FB7" w:rsidRDefault="00EF6291">
      <w:r>
        <w:t>截至</w:t>
      </w:r>
      <w:r>
        <w:t>2026</w:t>
      </w:r>
      <w:r>
        <w:t>年</w:t>
      </w:r>
      <w:r>
        <w:t>9</w:t>
      </w:r>
      <w:r>
        <w:t>月</w:t>
      </w:r>
      <w:r>
        <w:t>16</w:t>
      </w:r>
      <w:r>
        <w:t>日，最新候选的统一性能报告包含</w:t>
      </w:r>
      <w:r>
        <w:t>12</w:t>
      </w:r>
      <w:r>
        <w:t>份</w:t>
      </w:r>
      <w:r>
        <w:t>RF</w:t>
      </w:r>
      <w:r>
        <w:t>记录和</w:t>
      </w:r>
      <w:r>
        <w:t>26</w:t>
      </w:r>
      <w:r>
        <w:t>个最终案例，其中三、四天线各</w:t>
      </w:r>
      <w:r>
        <w:t>12</w:t>
      </w:r>
      <w:r>
        <w:t>例，两天线</w:t>
      </w:r>
      <w:r>
        <w:t>2</w:t>
      </w:r>
      <w:r>
        <w:t>例。相同四路</w:t>
      </w:r>
      <w:r>
        <w:t>RF</w:t>
      </w:r>
      <w:r>
        <w:t>形成的不同天线子集不视为独立录波。主线采用</w:t>
      </w:r>
      <w:r>
        <w:t>24</w:t>
      </w:r>
      <w:r>
        <w:t>颗卫星，单条时长为</w:t>
      </w:r>
      <w:r>
        <w:t>2 s</w:t>
      </w:r>
      <w:r>
        <w:t>或</w:t>
      </w:r>
      <w:r>
        <w:t>4 s</w:t>
      </w:r>
      <w:r>
        <w:t>，攻击及噪声变化从</w:t>
      </w:r>
      <w:r>
        <w:t>0.3 s</w:t>
      </w:r>
      <w:r>
        <w:t>开始；攻击前均核对了实际位置输出。当前只有种子</w:t>
      </w:r>
      <w:r>
        <w:t>117901</w:t>
      </w:r>
      <w:r>
        <w:t>为本批冻结后的留出，其余为开发或回归样本。</w:t>
      </w:r>
      <w:r>
        <w:t>[1]</w:t>
      </w:r>
    </w:p>
    <w:p w14:paraId="232F4B9D" w14:textId="77777777" w:rsidR="00824FB7" w:rsidRDefault="00EF6291">
      <w:r>
        <w:t>表</w:t>
      </w:r>
      <w:r>
        <w:t>7-2</w:t>
      </w:r>
      <w:r>
        <w:t>按</w:t>
      </w:r>
      <w:r>
        <w:t>“</w:t>
      </w:r>
      <w:r>
        <w:t>水平误差不超过</w:t>
      </w:r>
      <w:r>
        <w:t>20 m</w:t>
      </w:r>
      <w:r>
        <w:t>的发布次数除以全部输出机会</w:t>
      </w:r>
      <w:r>
        <w:t>”</w:t>
      </w:r>
      <w:r>
        <w:t>计算合格率，停发计入分母。精度仅统计已发布位置，因此大量停发场景的小误差不代表全程定位能力。本批所有最终案例已发布位置均在</w:t>
      </w:r>
      <w:r>
        <w:t>20 m</w:t>
      </w:r>
      <w:r>
        <w:t>以内；该样本事实不能用于推导实际部署的错误概率。</w:t>
      </w:r>
    </w:p>
    <w:p w14:paraId="68748AF8" w14:textId="493DE57E" w:rsidR="00824FB7" w:rsidRDefault="00EF6291">
      <w:pPr>
        <w:pStyle w:val="af7"/>
        <w:keepNext/>
        <w:jc w:val="center"/>
      </w:pPr>
      <w:r>
        <w:t>表</w:t>
      </w:r>
      <w:r>
        <w:t>7-</w:t>
      </w:r>
      <w:r>
        <w:fldChar w:fldCharType="begin"/>
      </w:r>
      <w:r>
        <w:instrText xml:space="preserve"> SEQ Table7 </w:instrText>
      </w:r>
      <w:r>
        <w:fldChar w:fldCharType="separate"/>
      </w:r>
      <w:r w:rsidR="005A5564">
        <w:rPr>
          <w:noProof/>
        </w:rPr>
        <w:t>2</w:t>
      </w:r>
      <w:r>
        <w:fldChar w:fldCharType="end"/>
      </w:r>
      <w:r>
        <w:t xml:space="preserve"> </w:t>
      </w:r>
      <w:r>
        <w:t>最新候选的典型场景性能</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458"/>
        <w:gridCol w:w="2665"/>
        <w:gridCol w:w="2665"/>
      </w:tblGrid>
      <w:tr w:rsidR="00824FB7" w14:paraId="06933CB4" w14:textId="77777777">
        <w:trPr>
          <w:cantSplit/>
          <w:tblHeader/>
          <w:jc w:val="center"/>
        </w:trPr>
        <w:tc>
          <w:tcPr>
            <w:tcW w:w="3458" w:type="dxa"/>
            <w:tcBorders>
              <w:bottom w:val="single" w:sz="6" w:space="0" w:color="000000"/>
            </w:tcBorders>
            <w:vAlign w:val="center"/>
          </w:tcPr>
          <w:p w14:paraId="5A042A21" w14:textId="77777777" w:rsidR="00824FB7" w:rsidRDefault="00EF6291">
            <w:pPr>
              <w:spacing w:before="80" w:after="80" w:line="276" w:lineRule="auto"/>
              <w:ind w:firstLineChars="0" w:firstLine="0"/>
            </w:pPr>
            <w:r>
              <w:rPr>
                <w:b/>
                <w:sz w:val="21"/>
              </w:rPr>
              <w:t>场景</w:t>
            </w:r>
          </w:p>
        </w:tc>
        <w:tc>
          <w:tcPr>
            <w:tcW w:w="2665" w:type="dxa"/>
            <w:tcBorders>
              <w:bottom w:val="single" w:sz="6" w:space="0" w:color="000000"/>
            </w:tcBorders>
            <w:vAlign w:val="center"/>
          </w:tcPr>
          <w:p w14:paraId="6CD10C40" w14:textId="77777777" w:rsidR="00824FB7" w:rsidRDefault="00EF6291">
            <w:pPr>
              <w:spacing w:before="80" w:after="80" w:line="276" w:lineRule="auto"/>
              <w:ind w:firstLineChars="0" w:firstLine="0"/>
            </w:pPr>
            <w:r>
              <w:rPr>
                <w:b/>
                <w:sz w:val="21"/>
              </w:rPr>
              <w:t>三天线</w:t>
            </w:r>
          </w:p>
        </w:tc>
        <w:tc>
          <w:tcPr>
            <w:tcW w:w="2665" w:type="dxa"/>
            <w:tcBorders>
              <w:bottom w:val="single" w:sz="6" w:space="0" w:color="000000"/>
            </w:tcBorders>
            <w:vAlign w:val="center"/>
          </w:tcPr>
          <w:p w14:paraId="2ACFF268" w14:textId="77777777" w:rsidR="00824FB7" w:rsidRDefault="00EF6291">
            <w:pPr>
              <w:spacing w:before="80" w:after="80" w:line="276" w:lineRule="auto"/>
              <w:ind w:firstLineChars="0" w:firstLine="0"/>
            </w:pPr>
            <w:r>
              <w:rPr>
                <w:b/>
                <w:sz w:val="21"/>
              </w:rPr>
              <w:t>四天线</w:t>
            </w:r>
          </w:p>
        </w:tc>
      </w:tr>
      <w:tr w:rsidR="00824FB7" w14:paraId="348AB63A" w14:textId="77777777">
        <w:trPr>
          <w:cantSplit/>
          <w:jc w:val="center"/>
        </w:trPr>
        <w:tc>
          <w:tcPr>
            <w:tcW w:w="3458" w:type="dxa"/>
            <w:vAlign w:val="center"/>
          </w:tcPr>
          <w:p w14:paraId="598C6C5A" w14:textId="77777777" w:rsidR="00824FB7" w:rsidRDefault="00EF6291">
            <w:pPr>
              <w:spacing w:before="80" w:after="80" w:line="276" w:lineRule="auto"/>
              <w:ind w:firstLineChars="0" w:firstLine="0"/>
            </w:pPr>
            <w:r>
              <w:rPr>
                <w:sz w:val="21"/>
              </w:rPr>
              <w:t>无攻击，</w:t>
            </w:r>
            <w:r>
              <w:rPr>
                <w:sz w:val="21"/>
              </w:rPr>
              <w:t>45 dB-Hz</w:t>
            </w:r>
            <w:r>
              <w:rPr>
                <w:sz w:val="21"/>
              </w:rPr>
              <w:t>，</w:t>
            </w:r>
            <w:r>
              <w:rPr>
                <w:sz w:val="21"/>
              </w:rPr>
              <w:t>24</w:t>
            </w:r>
            <w:r>
              <w:rPr>
                <w:sz w:val="21"/>
              </w:rPr>
              <w:t>星</w:t>
            </w:r>
          </w:p>
        </w:tc>
        <w:tc>
          <w:tcPr>
            <w:tcW w:w="2665" w:type="dxa"/>
            <w:vAlign w:val="center"/>
          </w:tcPr>
          <w:p w14:paraId="7B25A3EA" w14:textId="77777777" w:rsidR="00824FB7" w:rsidRDefault="00EF6291">
            <w:pPr>
              <w:spacing w:before="80" w:after="80" w:line="276" w:lineRule="auto"/>
              <w:ind w:firstLineChars="0" w:firstLine="0"/>
            </w:pPr>
            <w:r>
              <w:rPr>
                <w:sz w:val="21"/>
              </w:rPr>
              <w:t>100%</w:t>
            </w:r>
            <w:r>
              <w:rPr>
                <w:sz w:val="21"/>
              </w:rPr>
              <w:t>；最大</w:t>
            </w:r>
            <w:r>
              <w:rPr>
                <w:sz w:val="21"/>
              </w:rPr>
              <w:t>0.39 m</w:t>
            </w:r>
          </w:p>
        </w:tc>
        <w:tc>
          <w:tcPr>
            <w:tcW w:w="2665" w:type="dxa"/>
            <w:vAlign w:val="center"/>
          </w:tcPr>
          <w:p w14:paraId="6E0E456F" w14:textId="77777777" w:rsidR="00824FB7" w:rsidRDefault="00EF6291">
            <w:pPr>
              <w:spacing w:before="80" w:after="80" w:line="276" w:lineRule="auto"/>
              <w:ind w:firstLineChars="0" w:firstLine="0"/>
            </w:pPr>
            <w:r>
              <w:rPr>
                <w:sz w:val="21"/>
              </w:rPr>
              <w:t>100%</w:t>
            </w:r>
            <w:r>
              <w:rPr>
                <w:sz w:val="21"/>
              </w:rPr>
              <w:t>；最大</w:t>
            </w:r>
            <w:r>
              <w:rPr>
                <w:sz w:val="21"/>
              </w:rPr>
              <w:t>0.60 m</w:t>
            </w:r>
          </w:p>
        </w:tc>
      </w:tr>
      <w:tr w:rsidR="00824FB7" w14:paraId="2216CA67" w14:textId="77777777">
        <w:trPr>
          <w:cantSplit/>
          <w:jc w:val="center"/>
        </w:trPr>
        <w:tc>
          <w:tcPr>
            <w:tcW w:w="3458" w:type="dxa"/>
            <w:vAlign w:val="center"/>
          </w:tcPr>
          <w:p w14:paraId="487D8F22" w14:textId="77777777" w:rsidR="00824FB7" w:rsidRDefault="00EF6291">
            <w:pPr>
              <w:spacing w:before="80" w:after="80" w:line="276" w:lineRule="auto"/>
              <w:ind w:firstLineChars="0" w:firstLine="0"/>
            </w:pPr>
            <w:r>
              <w:rPr>
                <w:sz w:val="21"/>
              </w:rPr>
              <w:t>无攻击，转</w:t>
            </w:r>
            <w:r>
              <w:rPr>
                <w:sz w:val="21"/>
              </w:rPr>
              <w:t>30 dB-Hz</w:t>
            </w:r>
            <w:r>
              <w:rPr>
                <w:sz w:val="21"/>
              </w:rPr>
              <w:t>，</w:t>
            </w:r>
            <w:r>
              <w:rPr>
                <w:sz w:val="21"/>
              </w:rPr>
              <w:t>24</w:t>
            </w:r>
            <w:r>
              <w:rPr>
                <w:sz w:val="21"/>
              </w:rPr>
              <w:t>星</w:t>
            </w:r>
          </w:p>
        </w:tc>
        <w:tc>
          <w:tcPr>
            <w:tcW w:w="2665" w:type="dxa"/>
            <w:vAlign w:val="center"/>
          </w:tcPr>
          <w:p w14:paraId="13E8F0CF" w14:textId="77777777" w:rsidR="00824FB7" w:rsidRDefault="00EF6291">
            <w:pPr>
              <w:spacing w:before="80" w:after="80" w:line="276" w:lineRule="auto"/>
              <w:ind w:firstLineChars="0" w:firstLine="0"/>
            </w:pPr>
            <w:r>
              <w:rPr>
                <w:sz w:val="21"/>
              </w:rPr>
              <w:t>100%</w:t>
            </w:r>
            <w:r>
              <w:rPr>
                <w:sz w:val="21"/>
              </w:rPr>
              <w:t>；最大</w:t>
            </w:r>
            <w:r>
              <w:rPr>
                <w:sz w:val="21"/>
              </w:rPr>
              <w:t>7.72 m</w:t>
            </w:r>
          </w:p>
        </w:tc>
        <w:tc>
          <w:tcPr>
            <w:tcW w:w="2665" w:type="dxa"/>
            <w:vAlign w:val="center"/>
          </w:tcPr>
          <w:p w14:paraId="6A6AE66D" w14:textId="77777777" w:rsidR="00824FB7" w:rsidRDefault="00EF6291">
            <w:pPr>
              <w:spacing w:before="80" w:after="80" w:line="276" w:lineRule="auto"/>
              <w:ind w:firstLineChars="0" w:firstLine="0"/>
            </w:pPr>
            <w:r>
              <w:rPr>
                <w:sz w:val="21"/>
              </w:rPr>
              <w:t>100%</w:t>
            </w:r>
            <w:r>
              <w:rPr>
                <w:sz w:val="21"/>
              </w:rPr>
              <w:t>；最大</w:t>
            </w:r>
            <w:r>
              <w:rPr>
                <w:sz w:val="21"/>
              </w:rPr>
              <w:t>2.95 m</w:t>
            </w:r>
          </w:p>
        </w:tc>
      </w:tr>
      <w:tr w:rsidR="00824FB7" w14:paraId="7BCE920B" w14:textId="77777777">
        <w:trPr>
          <w:cantSplit/>
          <w:jc w:val="center"/>
        </w:trPr>
        <w:tc>
          <w:tcPr>
            <w:tcW w:w="3458" w:type="dxa"/>
            <w:vAlign w:val="center"/>
          </w:tcPr>
          <w:p w14:paraId="5F5F8CFC" w14:textId="77777777" w:rsidR="00824FB7" w:rsidRDefault="00EF6291">
            <w:pPr>
              <w:spacing w:before="80" w:after="80" w:line="276" w:lineRule="auto"/>
              <w:ind w:firstLineChars="0" w:firstLine="0"/>
            </w:pPr>
            <w:r>
              <w:rPr>
                <w:sz w:val="21"/>
              </w:rPr>
              <w:t>30 dB-Hz</w:t>
            </w:r>
            <w:r>
              <w:rPr>
                <w:sz w:val="21"/>
              </w:rPr>
              <w:t>攻击，开发</w:t>
            </w:r>
            <w:r>
              <w:rPr>
                <w:sz w:val="21"/>
              </w:rPr>
              <w:t>A</w:t>
            </w:r>
            <w:r>
              <w:rPr>
                <w:sz w:val="21"/>
              </w:rPr>
              <w:t>，</w:t>
            </w:r>
            <w:r>
              <w:rPr>
                <w:sz w:val="21"/>
              </w:rPr>
              <w:t>2 s</w:t>
            </w:r>
          </w:p>
        </w:tc>
        <w:tc>
          <w:tcPr>
            <w:tcW w:w="2665" w:type="dxa"/>
            <w:vAlign w:val="center"/>
          </w:tcPr>
          <w:p w14:paraId="6FB088E5" w14:textId="77777777" w:rsidR="00824FB7" w:rsidRDefault="00EF6291">
            <w:pPr>
              <w:spacing w:before="80" w:after="80" w:line="276" w:lineRule="auto"/>
              <w:ind w:firstLineChars="0" w:firstLine="0"/>
            </w:pPr>
            <w:r>
              <w:rPr>
                <w:sz w:val="21"/>
              </w:rPr>
              <w:t>100%</w:t>
            </w:r>
            <w:r>
              <w:rPr>
                <w:sz w:val="21"/>
              </w:rPr>
              <w:t>；最大</w:t>
            </w:r>
            <w:r>
              <w:rPr>
                <w:sz w:val="21"/>
              </w:rPr>
              <w:t>16.66 m</w:t>
            </w:r>
          </w:p>
        </w:tc>
        <w:tc>
          <w:tcPr>
            <w:tcW w:w="2665" w:type="dxa"/>
            <w:vAlign w:val="center"/>
          </w:tcPr>
          <w:p w14:paraId="6280A1DD" w14:textId="77777777" w:rsidR="00824FB7" w:rsidRDefault="00EF6291">
            <w:pPr>
              <w:spacing w:before="80" w:after="80" w:line="276" w:lineRule="auto"/>
              <w:ind w:firstLineChars="0" w:firstLine="0"/>
            </w:pPr>
            <w:r>
              <w:rPr>
                <w:sz w:val="21"/>
              </w:rPr>
              <w:t>100%</w:t>
            </w:r>
            <w:r>
              <w:rPr>
                <w:sz w:val="21"/>
              </w:rPr>
              <w:t>；最大</w:t>
            </w:r>
            <w:r>
              <w:rPr>
                <w:sz w:val="21"/>
              </w:rPr>
              <w:t>5.68 m</w:t>
            </w:r>
          </w:p>
        </w:tc>
      </w:tr>
      <w:tr w:rsidR="00824FB7" w14:paraId="77868A41" w14:textId="77777777">
        <w:trPr>
          <w:cantSplit/>
          <w:jc w:val="center"/>
        </w:trPr>
        <w:tc>
          <w:tcPr>
            <w:tcW w:w="3458" w:type="dxa"/>
            <w:vAlign w:val="center"/>
          </w:tcPr>
          <w:p w14:paraId="3EC5AC61" w14:textId="77777777" w:rsidR="00824FB7" w:rsidRDefault="00EF6291">
            <w:pPr>
              <w:spacing w:before="80" w:after="80" w:line="276" w:lineRule="auto"/>
              <w:ind w:firstLineChars="0" w:firstLine="0"/>
            </w:pPr>
            <w:r>
              <w:rPr>
                <w:sz w:val="21"/>
              </w:rPr>
              <w:t>30 dB-Hz</w:t>
            </w:r>
            <w:r>
              <w:rPr>
                <w:sz w:val="21"/>
              </w:rPr>
              <w:t>攻击，开发</w:t>
            </w:r>
            <w:r>
              <w:rPr>
                <w:sz w:val="21"/>
              </w:rPr>
              <w:t>B</w:t>
            </w:r>
            <w:r>
              <w:rPr>
                <w:sz w:val="21"/>
              </w:rPr>
              <w:t>，</w:t>
            </w:r>
            <w:r>
              <w:rPr>
                <w:sz w:val="21"/>
              </w:rPr>
              <w:t>2 s</w:t>
            </w:r>
          </w:p>
        </w:tc>
        <w:tc>
          <w:tcPr>
            <w:tcW w:w="2665" w:type="dxa"/>
            <w:vAlign w:val="center"/>
          </w:tcPr>
          <w:p w14:paraId="4072CCCC" w14:textId="77777777" w:rsidR="00824FB7" w:rsidRDefault="00EF6291">
            <w:pPr>
              <w:spacing w:before="80" w:after="80" w:line="276" w:lineRule="auto"/>
              <w:ind w:firstLineChars="0" w:firstLine="0"/>
            </w:pPr>
            <w:r>
              <w:rPr>
                <w:sz w:val="21"/>
              </w:rPr>
              <w:t>2.9%</w:t>
            </w:r>
            <w:r>
              <w:rPr>
                <w:sz w:val="21"/>
              </w:rPr>
              <w:t>；随后长期停发</w:t>
            </w:r>
          </w:p>
        </w:tc>
        <w:tc>
          <w:tcPr>
            <w:tcW w:w="2665" w:type="dxa"/>
            <w:vAlign w:val="center"/>
          </w:tcPr>
          <w:p w14:paraId="0F27737F" w14:textId="77777777" w:rsidR="00824FB7" w:rsidRDefault="00EF6291">
            <w:pPr>
              <w:spacing w:before="80" w:after="80" w:line="276" w:lineRule="auto"/>
              <w:ind w:firstLineChars="0" w:firstLine="0"/>
            </w:pPr>
            <w:r>
              <w:rPr>
                <w:sz w:val="21"/>
              </w:rPr>
              <w:t>100%</w:t>
            </w:r>
            <w:r>
              <w:rPr>
                <w:sz w:val="21"/>
              </w:rPr>
              <w:t>；最大</w:t>
            </w:r>
            <w:r>
              <w:rPr>
                <w:sz w:val="21"/>
              </w:rPr>
              <w:t>12.59 m</w:t>
            </w:r>
          </w:p>
        </w:tc>
      </w:tr>
      <w:tr w:rsidR="00824FB7" w14:paraId="51EACB75" w14:textId="77777777">
        <w:trPr>
          <w:cantSplit/>
          <w:jc w:val="center"/>
        </w:trPr>
        <w:tc>
          <w:tcPr>
            <w:tcW w:w="3458" w:type="dxa"/>
            <w:vAlign w:val="center"/>
          </w:tcPr>
          <w:p w14:paraId="7F72C583" w14:textId="77777777" w:rsidR="00824FB7" w:rsidRDefault="00EF6291">
            <w:pPr>
              <w:spacing w:before="80" w:after="80" w:line="276" w:lineRule="auto"/>
              <w:ind w:firstLineChars="0" w:firstLine="0"/>
            </w:pPr>
            <w:r>
              <w:rPr>
                <w:sz w:val="21"/>
              </w:rPr>
              <w:t>30 dB-Hz</w:t>
            </w:r>
            <w:r>
              <w:rPr>
                <w:sz w:val="21"/>
              </w:rPr>
              <w:t>攻击，开发</w:t>
            </w:r>
            <w:r>
              <w:rPr>
                <w:sz w:val="21"/>
              </w:rPr>
              <w:t>C</w:t>
            </w:r>
            <w:r>
              <w:rPr>
                <w:sz w:val="21"/>
              </w:rPr>
              <w:t>，</w:t>
            </w:r>
            <w:r>
              <w:rPr>
                <w:sz w:val="21"/>
              </w:rPr>
              <w:t>4 s</w:t>
            </w:r>
          </w:p>
        </w:tc>
        <w:tc>
          <w:tcPr>
            <w:tcW w:w="2665" w:type="dxa"/>
            <w:vAlign w:val="center"/>
          </w:tcPr>
          <w:p w14:paraId="711033FD" w14:textId="77777777" w:rsidR="00824FB7" w:rsidRDefault="00EF6291">
            <w:pPr>
              <w:spacing w:before="80" w:after="80" w:line="276" w:lineRule="auto"/>
              <w:ind w:firstLineChars="0" w:firstLine="0"/>
            </w:pPr>
            <w:r>
              <w:rPr>
                <w:sz w:val="21"/>
              </w:rPr>
              <w:t>1.3%</w:t>
            </w:r>
            <w:r>
              <w:rPr>
                <w:sz w:val="21"/>
              </w:rPr>
              <w:t>；随后长期停发</w:t>
            </w:r>
          </w:p>
        </w:tc>
        <w:tc>
          <w:tcPr>
            <w:tcW w:w="2665" w:type="dxa"/>
            <w:vAlign w:val="center"/>
          </w:tcPr>
          <w:p w14:paraId="15A7656D" w14:textId="77777777" w:rsidR="00824FB7" w:rsidRDefault="00EF6291">
            <w:pPr>
              <w:spacing w:before="80" w:after="80" w:line="276" w:lineRule="auto"/>
              <w:ind w:firstLineChars="0" w:firstLine="0"/>
            </w:pPr>
            <w:r>
              <w:rPr>
                <w:sz w:val="21"/>
              </w:rPr>
              <w:t>100%</w:t>
            </w:r>
            <w:r>
              <w:rPr>
                <w:sz w:val="21"/>
              </w:rPr>
              <w:t>；最大</w:t>
            </w:r>
            <w:r>
              <w:rPr>
                <w:sz w:val="21"/>
              </w:rPr>
              <w:t>16.68 m</w:t>
            </w:r>
          </w:p>
        </w:tc>
      </w:tr>
      <w:tr w:rsidR="00824FB7" w14:paraId="07770AD2" w14:textId="77777777">
        <w:trPr>
          <w:cantSplit/>
          <w:jc w:val="center"/>
        </w:trPr>
        <w:tc>
          <w:tcPr>
            <w:tcW w:w="3458" w:type="dxa"/>
            <w:vAlign w:val="center"/>
          </w:tcPr>
          <w:p w14:paraId="378C1E92" w14:textId="77777777" w:rsidR="00824FB7" w:rsidRDefault="00EF6291">
            <w:pPr>
              <w:spacing w:before="80" w:after="80" w:line="276" w:lineRule="auto"/>
              <w:ind w:firstLineChars="0" w:firstLine="0"/>
            </w:pPr>
            <w:r>
              <w:rPr>
                <w:sz w:val="21"/>
              </w:rPr>
              <w:lastRenderedPageBreak/>
              <w:t>30 dB-Hz</w:t>
            </w:r>
            <w:r>
              <w:rPr>
                <w:sz w:val="21"/>
              </w:rPr>
              <w:t>攻击，冻结留出，</w:t>
            </w:r>
            <w:r>
              <w:rPr>
                <w:sz w:val="21"/>
              </w:rPr>
              <w:t>4 s</w:t>
            </w:r>
          </w:p>
        </w:tc>
        <w:tc>
          <w:tcPr>
            <w:tcW w:w="2665" w:type="dxa"/>
            <w:vAlign w:val="center"/>
          </w:tcPr>
          <w:p w14:paraId="157DA36E" w14:textId="77777777" w:rsidR="00824FB7" w:rsidRDefault="00EF6291">
            <w:pPr>
              <w:spacing w:before="80" w:after="80" w:line="276" w:lineRule="auto"/>
              <w:ind w:firstLineChars="0" w:firstLine="0"/>
            </w:pPr>
            <w:r>
              <w:rPr>
                <w:sz w:val="21"/>
              </w:rPr>
              <w:t>4.0%</w:t>
            </w:r>
            <w:r>
              <w:rPr>
                <w:sz w:val="21"/>
              </w:rPr>
              <w:t>；末</w:t>
            </w:r>
            <w:r>
              <w:rPr>
                <w:sz w:val="21"/>
              </w:rPr>
              <w:t>1 s</w:t>
            </w:r>
            <w:r>
              <w:rPr>
                <w:sz w:val="21"/>
              </w:rPr>
              <w:t>无输出</w:t>
            </w:r>
          </w:p>
        </w:tc>
        <w:tc>
          <w:tcPr>
            <w:tcW w:w="2665" w:type="dxa"/>
            <w:vAlign w:val="center"/>
          </w:tcPr>
          <w:p w14:paraId="0FF36504" w14:textId="77777777" w:rsidR="00824FB7" w:rsidRDefault="00EF6291">
            <w:pPr>
              <w:spacing w:before="80" w:after="80" w:line="276" w:lineRule="auto"/>
              <w:ind w:firstLineChars="0" w:firstLine="0"/>
            </w:pPr>
            <w:r>
              <w:rPr>
                <w:sz w:val="21"/>
              </w:rPr>
              <w:t>100%</w:t>
            </w:r>
            <w:r>
              <w:rPr>
                <w:sz w:val="21"/>
              </w:rPr>
              <w:t>；最大</w:t>
            </w:r>
            <w:r>
              <w:rPr>
                <w:sz w:val="21"/>
              </w:rPr>
              <w:t>5.30 m</w:t>
            </w:r>
          </w:p>
        </w:tc>
      </w:tr>
      <w:tr w:rsidR="00824FB7" w14:paraId="1177F358" w14:textId="77777777">
        <w:trPr>
          <w:cantSplit/>
          <w:jc w:val="center"/>
        </w:trPr>
        <w:tc>
          <w:tcPr>
            <w:tcW w:w="3458" w:type="dxa"/>
            <w:vAlign w:val="center"/>
          </w:tcPr>
          <w:p w14:paraId="7CE6CEE3" w14:textId="77777777" w:rsidR="00824FB7" w:rsidRDefault="00EF6291">
            <w:pPr>
              <w:spacing w:before="80" w:after="80" w:line="276" w:lineRule="auto"/>
              <w:ind w:firstLineChars="0" w:firstLine="0"/>
            </w:pPr>
            <w:r>
              <w:rPr>
                <w:sz w:val="21"/>
              </w:rPr>
              <w:t>3</w:t>
            </w:r>
            <w:r>
              <w:rPr>
                <w:sz w:val="21"/>
              </w:rPr>
              <w:t>星近源簇，</w:t>
            </w:r>
            <w:r>
              <w:rPr>
                <w:sz w:val="21"/>
              </w:rPr>
              <w:t>24</w:t>
            </w:r>
            <w:r>
              <w:rPr>
                <w:sz w:val="21"/>
              </w:rPr>
              <w:t>星</w:t>
            </w:r>
          </w:p>
        </w:tc>
        <w:tc>
          <w:tcPr>
            <w:tcW w:w="2665" w:type="dxa"/>
            <w:vAlign w:val="center"/>
          </w:tcPr>
          <w:p w14:paraId="3D9BC7F0" w14:textId="77777777" w:rsidR="00824FB7" w:rsidRDefault="00EF6291">
            <w:pPr>
              <w:spacing w:before="80" w:after="80" w:line="276" w:lineRule="auto"/>
              <w:ind w:firstLineChars="0" w:firstLine="0"/>
            </w:pPr>
            <w:r>
              <w:rPr>
                <w:sz w:val="21"/>
              </w:rPr>
              <w:t>94.2%</w:t>
            </w:r>
            <w:r>
              <w:rPr>
                <w:sz w:val="21"/>
              </w:rPr>
              <w:t>；最大</w:t>
            </w:r>
            <w:r>
              <w:rPr>
                <w:sz w:val="21"/>
              </w:rPr>
              <w:t>1.63 m</w:t>
            </w:r>
          </w:p>
        </w:tc>
        <w:tc>
          <w:tcPr>
            <w:tcW w:w="2665" w:type="dxa"/>
            <w:vAlign w:val="center"/>
          </w:tcPr>
          <w:p w14:paraId="1C520434" w14:textId="77777777" w:rsidR="00824FB7" w:rsidRDefault="00EF6291">
            <w:pPr>
              <w:spacing w:before="80" w:after="80" w:line="276" w:lineRule="auto"/>
              <w:ind w:firstLineChars="0" w:firstLine="0"/>
            </w:pPr>
            <w:r>
              <w:rPr>
                <w:sz w:val="21"/>
              </w:rPr>
              <w:t>94.2%</w:t>
            </w:r>
            <w:r>
              <w:rPr>
                <w:sz w:val="21"/>
              </w:rPr>
              <w:t>；最大</w:t>
            </w:r>
            <w:r>
              <w:rPr>
                <w:sz w:val="21"/>
              </w:rPr>
              <w:t>0.45 m</w:t>
            </w:r>
          </w:p>
        </w:tc>
      </w:tr>
      <w:tr w:rsidR="00824FB7" w14:paraId="46AFEF3D" w14:textId="77777777">
        <w:trPr>
          <w:cantSplit/>
          <w:jc w:val="center"/>
        </w:trPr>
        <w:tc>
          <w:tcPr>
            <w:tcW w:w="3458" w:type="dxa"/>
            <w:vAlign w:val="center"/>
          </w:tcPr>
          <w:p w14:paraId="41BF3024" w14:textId="77777777" w:rsidR="00824FB7" w:rsidRDefault="00EF6291">
            <w:pPr>
              <w:spacing w:before="80" w:after="80" w:line="276" w:lineRule="auto"/>
              <w:ind w:firstLineChars="0" w:firstLine="0"/>
            </w:pPr>
            <w:r>
              <w:rPr>
                <w:sz w:val="21"/>
              </w:rPr>
              <w:t>攻击后撤除，</w:t>
            </w:r>
            <w:r>
              <w:rPr>
                <w:sz w:val="21"/>
              </w:rPr>
              <w:t>8</w:t>
            </w:r>
            <w:r>
              <w:rPr>
                <w:sz w:val="21"/>
              </w:rPr>
              <w:t>星</w:t>
            </w:r>
          </w:p>
        </w:tc>
        <w:tc>
          <w:tcPr>
            <w:tcW w:w="2665" w:type="dxa"/>
            <w:vAlign w:val="center"/>
          </w:tcPr>
          <w:p w14:paraId="5EA69F41" w14:textId="77777777" w:rsidR="00824FB7" w:rsidRDefault="00EF6291">
            <w:pPr>
              <w:spacing w:before="80" w:after="80" w:line="276" w:lineRule="auto"/>
              <w:ind w:firstLineChars="0" w:firstLine="0"/>
            </w:pPr>
            <w:r>
              <w:rPr>
                <w:sz w:val="21"/>
              </w:rPr>
              <w:t>94.2%</w:t>
            </w:r>
            <w:r>
              <w:rPr>
                <w:sz w:val="21"/>
              </w:rPr>
              <w:t>；最大</w:t>
            </w:r>
            <w:r>
              <w:rPr>
                <w:sz w:val="21"/>
              </w:rPr>
              <w:t>3.90 m</w:t>
            </w:r>
          </w:p>
        </w:tc>
        <w:tc>
          <w:tcPr>
            <w:tcW w:w="2665" w:type="dxa"/>
            <w:vAlign w:val="center"/>
          </w:tcPr>
          <w:p w14:paraId="39387A13" w14:textId="77777777" w:rsidR="00824FB7" w:rsidRDefault="00EF6291">
            <w:pPr>
              <w:spacing w:before="80" w:after="80" w:line="276" w:lineRule="auto"/>
              <w:ind w:firstLineChars="0" w:firstLine="0"/>
            </w:pPr>
            <w:r>
              <w:rPr>
                <w:sz w:val="21"/>
              </w:rPr>
              <w:t>94.2%</w:t>
            </w:r>
            <w:r>
              <w:rPr>
                <w:sz w:val="21"/>
              </w:rPr>
              <w:t>；最大</w:t>
            </w:r>
            <w:r>
              <w:rPr>
                <w:sz w:val="21"/>
              </w:rPr>
              <w:t>4.36 m</w:t>
            </w:r>
          </w:p>
        </w:tc>
      </w:tr>
      <w:tr w:rsidR="00824FB7" w14:paraId="005F2CEB" w14:textId="77777777">
        <w:trPr>
          <w:cantSplit/>
          <w:jc w:val="center"/>
        </w:trPr>
        <w:tc>
          <w:tcPr>
            <w:tcW w:w="3458" w:type="dxa"/>
            <w:vAlign w:val="center"/>
          </w:tcPr>
          <w:p w14:paraId="6679C3CF" w14:textId="77777777" w:rsidR="00824FB7" w:rsidRDefault="00EF6291">
            <w:pPr>
              <w:spacing w:before="80" w:after="80" w:line="276" w:lineRule="auto"/>
              <w:ind w:firstLineChars="0" w:firstLine="0"/>
            </w:pPr>
            <w:r>
              <w:rPr>
                <w:sz w:val="21"/>
              </w:rPr>
              <w:t>攻击中短时强噪声冲击</w:t>
            </w:r>
          </w:p>
        </w:tc>
        <w:tc>
          <w:tcPr>
            <w:tcW w:w="2665" w:type="dxa"/>
            <w:vAlign w:val="center"/>
          </w:tcPr>
          <w:p w14:paraId="6859D56E" w14:textId="77777777" w:rsidR="00824FB7" w:rsidRDefault="00EF6291">
            <w:pPr>
              <w:spacing w:before="80" w:after="80" w:line="276" w:lineRule="auto"/>
              <w:ind w:firstLineChars="0" w:firstLine="0"/>
            </w:pPr>
            <w:r>
              <w:rPr>
                <w:sz w:val="21"/>
              </w:rPr>
              <w:t>74.3%</w:t>
            </w:r>
            <w:r>
              <w:rPr>
                <w:sz w:val="21"/>
              </w:rPr>
              <w:t>；中断</w:t>
            </w:r>
            <w:r>
              <w:rPr>
                <w:sz w:val="21"/>
              </w:rPr>
              <w:t>0.44 s</w:t>
            </w:r>
          </w:p>
        </w:tc>
        <w:tc>
          <w:tcPr>
            <w:tcW w:w="2665" w:type="dxa"/>
            <w:vAlign w:val="center"/>
          </w:tcPr>
          <w:p w14:paraId="595DD91E" w14:textId="77777777" w:rsidR="00824FB7" w:rsidRDefault="00EF6291">
            <w:pPr>
              <w:spacing w:before="80" w:after="80" w:line="276" w:lineRule="auto"/>
              <w:ind w:firstLineChars="0" w:firstLine="0"/>
            </w:pPr>
            <w:r>
              <w:rPr>
                <w:sz w:val="21"/>
              </w:rPr>
              <w:t>73.7%</w:t>
            </w:r>
            <w:r>
              <w:rPr>
                <w:sz w:val="21"/>
              </w:rPr>
              <w:t>；中断</w:t>
            </w:r>
            <w:r>
              <w:rPr>
                <w:sz w:val="21"/>
              </w:rPr>
              <w:t>0.45 s</w:t>
            </w:r>
          </w:p>
        </w:tc>
      </w:tr>
      <w:tr w:rsidR="00824FB7" w14:paraId="40CE572F" w14:textId="77777777">
        <w:trPr>
          <w:cantSplit/>
          <w:jc w:val="center"/>
        </w:trPr>
        <w:tc>
          <w:tcPr>
            <w:tcW w:w="3458" w:type="dxa"/>
            <w:vAlign w:val="center"/>
          </w:tcPr>
          <w:p w14:paraId="5E4ADEC1" w14:textId="77777777" w:rsidR="00824FB7" w:rsidRDefault="00EF6291">
            <w:pPr>
              <w:spacing w:before="80" w:after="80" w:line="276" w:lineRule="auto"/>
              <w:ind w:firstLineChars="0" w:firstLine="0"/>
            </w:pPr>
            <w:r>
              <w:rPr>
                <w:sz w:val="21"/>
              </w:rPr>
              <w:t>真实信号消失，</w:t>
            </w:r>
            <w:r>
              <w:rPr>
                <w:sz w:val="21"/>
              </w:rPr>
              <w:t>3</w:t>
            </w:r>
            <w:r>
              <w:rPr>
                <w:sz w:val="21"/>
              </w:rPr>
              <w:t>个种子</w:t>
            </w:r>
          </w:p>
        </w:tc>
        <w:tc>
          <w:tcPr>
            <w:tcW w:w="2665" w:type="dxa"/>
            <w:vAlign w:val="center"/>
          </w:tcPr>
          <w:p w14:paraId="79507278" w14:textId="77777777" w:rsidR="00824FB7" w:rsidRDefault="00EF6291">
            <w:pPr>
              <w:spacing w:before="80" w:after="80" w:line="276" w:lineRule="auto"/>
              <w:ind w:firstLineChars="0" w:firstLine="0"/>
            </w:pPr>
            <w:r>
              <w:rPr>
                <w:sz w:val="21"/>
              </w:rPr>
              <w:t>3</w:t>
            </w:r>
            <w:r>
              <w:rPr>
                <w:sz w:val="21"/>
              </w:rPr>
              <w:t>～</w:t>
            </w:r>
            <w:r>
              <w:rPr>
                <w:sz w:val="21"/>
              </w:rPr>
              <w:t>4</w:t>
            </w:r>
            <w:r>
              <w:rPr>
                <w:sz w:val="21"/>
              </w:rPr>
              <w:t>次过渡输出后停发</w:t>
            </w:r>
          </w:p>
        </w:tc>
        <w:tc>
          <w:tcPr>
            <w:tcW w:w="2665" w:type="dxa"/>
            <w:vAlign w:val="center"/>
          </w:tcPr>
          <w:p w14:paraId="1E446473" w14:textId="77777777" w:rsidR="00824FB7" w:rsidRDefault="00EF6291">
            <w:pPr>
              <w:spacing w:before="80" w:after="80" w:line="276" w:lineRule="auto"/>
              <w:ind w:firstLineChars="0" w:firstLine="0"/>
            </w:pPr>
            <w:r>
              <w:rPr>
                <w:sz w:val="21"/>
              </w:rPr>
              <w:t>3</w:t>
            </w:r>
            <w:r>
              <w:rPr>
                <w:sz w:val="21"/>
              </w:rPr>
              <w:t>～</w:t>
            </w:r>
            <w:r>
              <w:rPr>
                <w:sz w:val="21"/>
              </w:rPr>
              <w:t>4</w:t>
            </w:r>
            <w:r>
              <w:rPr>
                <w:sz w:val="21"/>
              </w:rPr>
              <w:t>次过渡输出后停发</w:t>
            </w:r>
          </w:p>
        </w:tc>
      </w:tr>
    </w:tbl>
    <w:p w14:paraId="46F383E2" w14:textId="77777777" w:rsidR="00824FB7" w:rsidRDefault="00EF6291">
      <w:r>
        <w:t>四天线在已测弱信号攻击记录中保持连续</w:t>
      </w:r>
      <w:r>
        <w:t>20 m</w:t>
      </w:r>
      <w:r>
        <w:t>内输出，已知困难样本的最大误差由</w:t>
      </w:r>
      <w:r>
        <w:t>33.87 m</w:t>
      </w:r>
      <w:r>
        <w:t>降至</w:t>
      </w:r>
      <w:r>
        <w:t>16.68 m</w:t>
      </w:r>
      <w:r>
        <w:t>。改进来自同弧历史平滑和已发布位置的载波接续，不是放宽目标或删减输出机会。冻结留出原基线已通过，新候选保持通过并减小最大误差，证据支持本次修改在该种子未退化，不能证明所有几何均可靠。</w:t>
      </w:r>
      <w:r>
        <w:t>[1-2]</w:t>
      </w:r>
    </w:p>
    <w:p w14:paraId="07175ED4" w14:textId="77777777" w:rsidR="00824FB7" w:rsidRDefault="00EF6291">
      <w:r>
        <w:t>三天线在部分困难种子上仍长期停发，限制来自抑制后的真实信号增益、方向准入及码一致性不足；增加历史不能创造缺失观测。近源与撤除记录均在攻击切入阶段中断</w:t>
      </w:r>
      <w:r>
        <w:t>0.10 s</w:t>
      </w:r>
      <w:r>
        <w:t>；撤除记录于</w:t>
      </w:r>
      <w:r>
        <w:t>0.43 s</w:t>
      </w:r>
      <w:r>
        <w:t>恢复，早于</w:t>
      </w:r>
      <w:r>
        <w:t>0.45 s</w:t>
      </w:r>
      <w:r>
        <w:t>攻击撤除，撤除后未再次中断。真实信号消失后仅有观测和处理过渡期输出，不能解释为无真实信号下持续导航。</w:t>
      </w:r>
    </w:p>
    <w:p w14:paraId="269DA9CF" w14:textId="77777777" w:rsidR="00824FB7" w:rsidRDefault="00EF6291">
      <w:r>
        <w:t>现有结果说明四天线技术路线具有继续开展工程样机验证的依据，但尚不足以形成商用性能承诺。最新统一候选的最长记录仅</w:t>
      </w:r>
      <w:r>
        <w:t>4 s</w:t>
      </w:r>
      <w:r>
        <w:t>，尚未证明分钟级持续导航；弱信号最大误差仍接近</w:t>
      </w:r>
      <w:r>
        <w:t>17 m</w:t>
      </w:r>
      <w:r>
        <w:t>，尚不满足稳定</w:t>
      </w:r>
      <w:r>
        <w:t>1 m</w:t>
      </w:r>
      <w:r>
        <w:t>或所有时刻数米级定位。当前也没有统一标定的检测率、虚警率、测向误差和实测抑制深度，不能用导航合格率替代这些专项指标。</w:t>
      </w:r>
    </w:p>
    <w:p w14:paraId="098825EC" w14:textId="77777777" w:rsidR="00824FB7" w:rsidRDefault="00EF6291">
      <w:pPr>
        <w:pStyle w:val="2"/>
        <w:numPr>
          <w:ilvl w:val="1"/>
          <w:numId w:val="1"/>
        </w:numPr>
      </w:pPr>
      <w:r>
        <w:t>分阶段实施与验收安排</w:t>
      </w:r>
    </w:p>
    <w:p w14:paraId="4723794B" w14:textId="77777777" w:rsidR="00824FB7" w:rsidRDefault="00EF6291">
      <w:r>
        <w:t>实施按软件机制验证、同步台架验证及场景试验逐步放行。软件阶段扩大四天线未参与调参的几何、持续时长、攻击功率及拖曳方式，补齐</w:t>
      </w:r>
      <w:r>
        <w:t>24</w:t>
      </w:r>
      <w:r>
        <w:t>星撤除和无攻击弱信号留出；三天线围绕低保留增益与恢复连续性研究，不以隐藏停发或放宽精度条件获得通过。使用相同</w:t>
      </w:r>
      <w:r>
        <w:t>RF</w:t>
      </w:r>
      <w:r>
        <w:t>对照基线和候选，固定版本后生成独立留出，并同时公布失败样本。</w:t>
      </w:r>
    </w:p>
    <w:p w14:paraId="36F112AE" w14:textId="77777777" w:rsidR="00824FB7" w:rsidRDefault="00EF6291">
      <w:r>
        <w:t>台架阶段接入四路同步</w:t>
      </w:r>
      <w:r>
        <w:t>RF</w:t>
      </w:r>
      <w:r>
        <w:t>及工况记录，建立幅相、时延、温漂、前端动态范围和阵列方向图的测量闭环。先在固定姿态下验证检测与抑制，再引入姿态变化、手持遮挡与车内传播。每阶段同时设置无攻击对照，确认抗欺骗处理本身不会造成</w:t>
      </w:r>
      <w:r>
        <w:lastRenderedPageBreak/>
        <w:t>不可接受的正常导航损失。无台架数据时，只能验收软件流程的可复现性，不能完成硬件指标验收。</w:t>
      </w:r>
    </w:p>
    <w:p w14:paraId="59666E48" w14:textId="77777777" w:rsidR="00824FB7" w:rsidRDefault="00EF6291">
      <w:r>
        <w:t>验收需要同时记录位置精度、有效输出比例、最长中断、检测与恢复时延、正常场景虚警及超过</w:t>
      </w:r>
      <w:r>
        <w:t>50 m</w:t>
      </w:r>
      <w:r>
        <w:t>的错误发布；检测时延应从物理攻击发生时刻计算，并明确处理延迟。仿真真值和台架参考轨迹仅用于评分，不输入被测算法。</w:t>
      </w:r>
      <w:r>
        <w:t>20 m</w:t>
      </w:r>
      <w:r>
        <w:t>实际误差是评价目标，不应作为在线可直接读取的判据；允许中断及错误概率指标应在产品放行前落实为可测验收条件。</w:t>
      </w:r>
    </w:p>
    <w:p w14:paraId="49A1AE86" w14:textId="77777777" w:rsidR="00824FB7" w:rsidRDefault="00EF6291">
      <w:r>
        <w:t>综合判断，建议以四天线同步阵列为当前抗欺骗工程样机主线，以单源空间检测和抑制为核心，以真实观测质量及绝对位置一致性约束导航输出。三天线继续作为受限配置评估，无法持续导航时按不可用处理。只有完成更长时段留出、真实硬件校准和动态场景试验，才能进一步判断目标终端是否具备面向实际客户的持续导航能力。</w:t>
      </w:r>
    </w:p>
    <w:p w14:paraId="5AB139DF" w14:textId="77777777" w:rsidR="00824FB7" w:rsidRDefault="00EF6291">
      <w:pPr>
        <w:pStyle w:val="2"/>
        <w:numPr>
          <w:ilvl w:val="1"/>
          <w:numId w:val="1"/>
        </w:numPr>
      </w:pPr>
      <w:r>
        <w:t>本章依据</w:t>
      </w:r>
    </w:p>
    <w:p w14:paraId="5C060F21" w14:textId="77777777" w:rsidR="00824FB7" w:rsidRDefault="00EF6291">
      <w:pPr>
        <w:ind w:firstLineChars="0" w:firstLine="0"/>
        <w:jc w:val="left"/>
      </w:pPr>
      <w:r>
        <w:t xml:space="preserve">[1] </w:t>
      </w:r>
      <w:r>
        <w:t>项目内部研究资料：《当前各场景性能报告》，</w:t>
      </w:r>
      <w:r>
        <w:t>2026</w:t>
      </w:r>
      <w:r>
        <w:t>年</w:t>
      </w:r>
      <w:r>
        <w:t>9</w:t>
      </w:r>
      <w:r>
        <w:t>月</w:t>
      </w:r>
      <w:r>
        <w:t>16</w:t>
      </w:r>
      <w:r>
        <w:t>日。对应文件：</w:t>
      </w:r>
      <w:r>
        <w:t>CURRENT_SCENARIO_PERFORMANCE_2026-09-16.md</w:t>
      </w:r>
      <w:r>
        <w:t>；逐例指标：</w:t>
      </w:r>
      <w:r>
        <w:t>results/current-performance-2026-09-16/performance.json</w:t>
      </w:r>
      <w:r>
        <w:t>。</w:t>
      </w:r>
    </w:p>
    <w:p w14:paraId="6F7F4D23" w14:textId="77777777" w:rsidR="00824FB7" w:rsidRDefault="00EF6291">
      <w:pPr>
        <w:ind w:firstLineChars="0" w:firstLine="0"/>
        <w:jc w:val="left"/>
      </w:pPr>
      <w:r>
        <w:t xml:space="preserve">[2] </w:t>
      </w:r>
      <w:r>
        <w:t>项目内部研究资料：《观测历史保留与绝对位置接续：方法及边界》。对应文件：</w:t>
      </w:r>
      <w:r>
        <w:t>MECHANISM_FOUR_METHODS.md</w:t>
      </w:r>
      <w:r>
        <w:t>；研究过程及结果：</w:t>
      </w:r>
      <w:r>
        <w:t>MECHANISM_FOUR_REPORT.md</w:t>
      </w:r>
      <w:r>
        <w:t>。</w:t>
      </w:r>
    </w:p>
    <w:p w14:paraId="01BF23FE" w14:textId="77777777" w:rsidR="00824FB7" w:rsidRDefault="00EF6291">
      <w:pPr>
        <w:ind w:firstLineChars="0" w:firstLine="0"/>
        <w:jc w:val="left"/>
      </w:pPr>
      <w:r>
        <w:t xml:space="preserve">[3] </w:t>
      </w:r>
      <w:r>
        <w:t>最新研究接收机及方向证据实现：</w:t>
      </w:r>
      <w:r>
        <w:t>single_source_receiver_history.py</w:t>
      </w:r>
      <w:r>
        <w:t>、</w:t>
      </w:r>
      <w:r>
        <w:t>weak_source_evidence.py</w:t>
      </w:r>
      <w:r>
        <w:t>。章节中的理想模型用于说明方法，工程扩展项与已测结果已分别陈述；不涉及对厂商专有算法的复现或授权声明。</w:t>
      </w:r>
    </w:p>
    <w:sectPr w:rsidR="00824FB7" w:rsidSect="00034616">
      <w:footerReference w:type="even" r:id="rId8"/>
      <w:footerReference w:type="default" r:id="rId9"/>
      <w:footerReference w:type="first" r:id="rId10"/>
      <w:pgSz w:w="11906" w:h="16838"/>
      <w:pgMar w:top="1417" w:right="1417" w:bottom="1417" w:left="1701" w:header="72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39F7D" w14:textId="77777777" w:rsidR="00EF6291" w:rsidRDefault="00EF6291">
      <w:pPr>
        <w:spacing w:line="240" w:lineRule="auto"/>
      </w:pPr>
      <w:r>
        <w:separator/>
      </w:r>
    </w:p>
  </w:endnote>
  <w:endnote w:type="continuationSeparator" w:id="0">
    <w:p w14:paraId="0A821EA7" w14:textId="77777777" w:rsidR="00EF6291" w:rsidRDefault="00EF62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97DC" w14:textId="77777777" w:rsidR="005A5564" w:rsidRDefault="005A556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F9F75" w14:textId="77777777" w:rsidR="00824FB7" w:rsidRDefault="00EF6291">
    <w:pPr>
      <w:pStyle w:val="a6"/>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B90A6" w14:textId="77777777" w:rsidR="005A5564" w:rsidRDefault="005A556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04B07" w14:textId="77777777" w:rsidR="00EF6291" w:rsidRDefault="00EF6291">
      <w:pPr>
        <w:spacing w:line="240" w:lineRule="auto"/>
      </w:pPr>
      <w:r>
        <w:separator/>
      </w:r>
    </w:p>
  </w:footnote>
  <w:footnote w:type="continuationSeparator" w:id="0">
    <w:p w14:paraId="474E9E30" w14:textId="77777777" w:rsidR="00EF6291" w:rsidRDefault="00EF62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B8A45C5"/>
    <w:multiLevelType w:val="multilevel"/>
    <w:tmpl w:val="A274E180"/>
    <w:lvl w:ilvl="0">
      <w:start w:val="7"/>
      <w:numFmt w:val="decimal"/>
      <w:pStyle w:val="a"/>
      <w:suff w:val="space"/>
      <w:lvlText w:val="第%1章"/>
      <w:lvlJc w:val="left"/>
    </w:lvl>
    <w:lvl w:ilvl="1">
      <w:start w:val="1"/>
      <w:numFmt w:val="decimal"/>
      <w:suff w:val="space"/>
      <w:lvlText w:val="%1.%2"/>
      <w:lvlJc w:val="left"/>
    </w:lvl>
    <w:lvl w:ilvl="2">
      <w:start w:val="1"/>
      <w:numFmt w:val="decimal"/>
      <w:suff w:val="space"/>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4840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5564"/>
    <w:rsid w:val="00824FB7"/>
    <w:rsid w:val="00AA1D8D"/>
    <w:rsid w:val="00B47730"/>
    <w:rsid w:val="00CB0664"/>
    <w:rsid w:val="00E8247D"/>
    <w:rsid w:val="00EF62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C34F34"/>
  <w14:defaultImageDpi w14:val="300"/>
  <w15:docId w15:val="{1D42F712-D6D2-47ED-AE7C-3A499DAD1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0" w:line="360" w:lineRule="auto"/>
      <w:ind w:firstLineChars="200" w:firstLine="480"/>
      <w:jc w:val="both"/>
    </w:pPr>
    <w:rPr>
      <w:rFonts w:ascii="Times New Roman" w:eastAsia="宋体" w:hAnsi="Times New Roman"/>
      <w:color w:val="000000"/>
      <w:sz w:val="24"/>
    </w:rPr>
  </w:style>
  <w:style w:type="paragraph" w:styleId="1">
    <w:name w:val="heading 1"/>
    <w:basedOn w:val="a0"/>
    <w:next w:val="a0"/>
    <w:link w:val="10"/>
    <w:uiPriority w:val="9"/>
    <w:qFormat/>
    <w:rsid w:val="00FC693F"/>
    <w:pPr>
      <w:keepNext/>
      <w:keepLines/>
      <w:spacing w:before="240" w:after="120"/>
      <w:ind w:firstLineChars="0" w:firstLine="0"/>
      <w:jc w:val="center"/>
      <w:outlineLvl w:val="0"/>
    </w:pPr>
    <w:rPr>
      <w:b/>
      <w:bCs/>
      <w:sz w:val="36"/>
      <w:szCs w:val="28"/>
    </w:rPr>
  </w:style>
  <w:style w:type="paragraph" w:styleId="2">
    <w:name w:val="heading 2"/>
    <w:basedOn w:val="a0"/>
    <w:next w:val="a0"/>
    <w:link w:val="20"/>
    <w:uiPriority w:val="9"/>
    <w:unhideWhenUsed/>
    <w:qFormat/>
    <w:rsid w:val="00FC693F"/>
    <w:pPr>
      <w:keepNext/>
      <w:keepLines/>
      <w:spacing w:before="240" w:after="120"/>
      <w:ind w:firstLineChars="0" w:firstLine="0"/>
      <w:outlineLvl w:val="1"/>
    </w:pPr>
    <w:rPr>
      <w:b/>
      <w:bCs/>
      <w:sz w:val="30"/>
      <w:szCs w:val="26"/>
    </w:rPr>
  </w:style>
  <w:style w:type="paragraph" w:styleId="3">
    <w:name w:val="heading 3"/>
    <w:basedOn w:val="a0"/>
    <w:next w:val="a0"/>
    <w:link w:val="30"/>
    <w:uiPriority w:val="9"/>
    <w:unhideWhenUsed/>
    <w:qFormat/>
    <w:rsid w:val="00FC693F"/>
    <w:pPr>
      <w:keepNext/>
      <w:keepLines/>
      <w:spacing w:before="240" w:after="120"/>
      <w:ind w:firstLineChars="0" w:firstLine="0"/>
      <w:outlineLvl w:val="2"/>
    </w:pPr>
    <w:rPr>
      <w:b/>
      <w:bCs/>
      <w:sz w:val="28"/>
    </w:rPr>
  </w:style>
  <w:style w:type="paragraph" w:styleId="4">
    <w:name w:val="heading 4"/>
    <w:basedOn w:val="a0"/>
    <w:next w:val="a0"/>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ind w:firstLineChars="0" w:firstLine="0"/>
    </w:pPr>
    <w:rPr>
      <w:sz w:val="21"/>
    </w:r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ind w:firstLineChars="0" w:firstLine="0"/>
      <w:contextualSpacing/>
    </w:pPr>
    <w:rPr>
      <w:b/>
      <w:spacing w:val="5"/>
      <w:kern w:val="28"/>
      <w:sz w:val="4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ind w:firstLineChars="200" w:firstLine="480"/>
    </w:pPr>
    <w:rPr>
      <w:rFonts w:asciiTheme="majorHAnsi" w:eastAsiaTheme="majorEastAsia" w:hAnsiTheme="majorHAnsi" w:cstheme="majorBidi"/>
      <w:i/>
      <w:iCs/>
      <w:color w:val="4F81BD" w:themeColor="accent1"/>
      <w:spacing w:val="15"/>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ind w:firstLineChars="0" w:firstLine="0"/>
    </w:pPr>
    <w:rPr>
      <w:bCs/>
      <w:sz w:val="21"/>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3298</Words>
  <Characters>3727</Characters>
  <Application>Microsoft Office Word</Application>
  <DocSecurity>0</DocSecurity>
  <Lines>155</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第7章 抗欺骗检测与抑制方案</dc:title>
  <dc:subject>手机尺寸同步多天线单源GNSS抗欺骗可行性分析</dc:subject>
  <dc:creator/>
  <cp:keywords/>
  <dc:description>generated by python-docx</dc:description>
  <cp:lastModifiedBy>Zhang Mr</cp:lastModifiedBy>
  <cp:revision>2</cp:revision>
  <dcterms:created xsi:type="dcterms:W3CDTF">2013-12-23T23:15:00Z</dcterms:created>
  <dcterms:modified xsi:type="dcterms:W3CDTF">2026-09-16T03:11:00Z</dcterms:modified>
  <cp:category/>
</cp:coreProperties>
</file>