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权限管理</w:t>
      </w:r>
    </w:p>
    <w:p>
      <w:r>
        <w:t>目前薪福通CodeFriend低开的【通用权限管理】均需前往薪福通管理后台的【通用权限管理】板块进行设置即可，在此板块设置了角色后，可以进行用户添加并配置各角色访问不同的页面（注意：只有企业管理员角色才可以进入薪福通管理后台进行角色授权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1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433482499286200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**用户授权**</w:t>
      </w:r>
    </w:p>
    <w:p>
      <w:pPr>
        <w:pStyle w:val="Heading4"/>
      </w:pPr>
      <w:r>
        <w:t>**添加用户**</w:t>
      </w:r>
    </w:p>
    <w:p>
      <w:r>
        <w:t>点击“添加用户”，支持添加内部员工和外部员工。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3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2074278293879380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**关联角色**</w:t>
      </w:r>
    </w:p>
    <w:p>
      <w:r>
        <w:t>点击“关联角色”后，支持添加角色和删除角色。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5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636691756330192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**功能权限设置**</w:t>
      </w:r>
    </w:p>
    <w:p>
      <w:r>
        <w:t>点击“功能权限设置”，支持选择配置功能权限。需要注意“操作功能点”是控制Codefriend低开页面内关联的资源点。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0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580356970602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**数据权限设置**</w:t>
      </w:r>
    </w:p>
    <w:p>
      <w:r>
        <w:t>点击“数据权限设置”，支持选择配置数据权限。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0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7181587097775266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**角色管理**</w:t>
      </w:r>
    </w:p>
    <w:p>
      <w:pPr>
        <w:pStyle w:val="Heading4"/>
      </w:pPr>
      <w:r>
        <w:t>**添加角色**</w:t>
      </w:r>
    </w:p>
    <w:p>
      <w:r>
        <w:t>点击“添加角色”，输入角色名称和角色说明即可完成角色添加。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1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1698797952489365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**批量操作**</w:t>
      </w:r>
    </w:p>
    <w:p>
      <w:r>
        <w:t>点击“批量操作”，支持批量导入和批量停用角色。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1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896017974830017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**权限管理模式**</w:t>
      </w:r>
    </w:p>
    <w:p>
      <w:r>
        <w:t>支持设置“子管理员模式”和“双管理员互审模式”两种，可根据自己场景开启需要的权限管理模式。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36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047671201185516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36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