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资源点配置</w:t>
      </w:r>
    </w:p>
    <w:p>
      <w:r>
        <w:t>如果平台提供的权限设置不能满足您的需求，您可以通过创建资源点来实现精细化权限管理。例：控制页面中的某个操作按钮的权限。</w:t>
      </w:r>
    </w:p>
    <w:p>
      <w:r>
        <w:t>资源点目前分为PC端页面资源点、移动端页面资源点、其它（页面、业务编排SQL节点、全局均可以使用）。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4086083094841306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**新建资源点**</w:t>
      </w:r>
    </w:p>
    <w:p>
      <w:r>
        <w:t>填写资源点Key和资源点名称即可新建资源点。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8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182594211318429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**资源点编辑**</w:t>
      </w:r>
    </w:p>
    <w:p>
      <w:r>
        <w:t>支持对资源点名称进行配置。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70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4077411065391143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**资源点删除**</w:t>
      </w:r>
    </w:p>
    <w:p>
      <w:r>
        <w:t>删除资源点时，如该资源点未关联组件或权限，则不影响权限设置；若该资源点已关联组件或权限，则会删除关联关系，权限控制失效。</w:t>
      </w:r>
    </w:p>
    <w:p>
      <w:pPr>
        <w:pStyle w:val="ListNumber"/>
      </w:pPr>
      <w:r>
        <w:t>单个删除，点击“资源点”后的【删除】按钮，弹出删除提示。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4328427865899329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资源点关联组件进行控权</w:t>
      </w:r>
    </w:p>
    <w:p>
      <w:r>
        <w:t>在控制权限的组件中关联上资源点，然后在权限设置中配置资源点，即可实现精细化权限控制。</w:t>
      </w:r>
    </w:p>
    <w:p>
      <w:pPr>
        <w:pStyle w:val="ListNumber"/>
      </w:pPr>
      <w:r>
        <w:t>在编辑器中选中需要控制权限的组件，切换到权限面板，可关联该页面下的资源点。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86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7238657443378254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69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