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使用应用</w:t>
      </w:r>
    </w:p>
    <w:p>
      <w:r>
        <w:t>操作步骤如下：</w:t>
      </w:r>
    </w:p>
    <w:p>
      <w:r>
        <w:t>1、【管理后台】以管理员账号登录薪福通门户。</w:t>
      </w:r>
    </w:p>
    <w:p>
      <w:r>
        <w:t>2、【权限管理】给对应的企业下的员工配置应用权限。</w:t>
      </w:r>
    </w:p>
    <w:p>
      <w:r>
        <w:t>3、【应用中心】启用应用。</w:t>
      </w:r>
    </w:p>
    <w:p>
      <w:r>
        <w:t>4、【工作台】以普通员工账号访问并使用应用。</w:t>
      </w:r>
    </w:p>
    <w:p>
      <w:pPr>
        <w:pStyle w:val="Heading2"/>
      </w:pPr>
      <w:r>
        <w:t>管理员对应用的权限管理</w:t>
      </w:r>
    </w:p>
    <w:p>
      <w:r>
        <w:t>访问薪福通工作台，以企业（管理员身份）登录。</w:t>
      </w:r>
    </w:p>
    <w:p>
      <w:pPr>
        <w:pStyle w:val="Heading3"/>
      </w:pPr>
      <w:r>
        <w:t>前往企业管理后台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7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748625648369118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授权应用和权限管理</w:t>
      </w:r>
    </w:p>
    <w:p>
      <w:r>
        <w:t>注意点：【角色管理】 优先于【用户授权】权限</w:t>
      </w:r>
    </w:p>
    <w:p>
      <w:r>
        <w:t>点击管理后台，进入【角色管理】，可以为不同分类的角色授权相应权限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6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729682069281314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进入【用户授权】，可以编辑员工的信息 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4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751635279402524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启用应用</w:t>
      </w:r>
    </w:p>
    <w:p>
      <w:r>
        <w:t>进入【应用中心】或【全部应用】中，找到该应用，点击立即启用。</w:t>
      </w:r>
    </w:p>
    <w:p>
      <w:pPr>
        <w:pStyle w:val="Heading2"/>
      </w:pPr>
      <w:r>
        <w:t>访问应用</w:t>
      </w:r>
    </w:p>
    <w:p>
      <w:r>
        <w:t>普通用户登录薪福通，进入全部应用中，找到应用。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8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183401383348727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153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889058501926889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5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