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发布应用</w:t>
      </w:r>
    </w:p>
    <w:p>
      <w:pPr>
        <w:pStyle w:val="Heading2"/>
      </w:pPr>
      <w:r>
        <w:t>CodeFriend低开环境应用上线</w:t>
      </w:r>
    </w:p>
    <w:p>
      <w:r>
        <w:t>1、【应用上线】在薪福通CodeFriend低开环境进行应用上线。</w:t>
      </w:r>
    </w:p>
    <w:p>
      <w:r>
        <w:t>2、【发布应用】在薪福通开放平台发布应用。</w:t>
      </w:r>
    </w:p>
    <w:p>
      <w:r>
        <w:t>应用开发和测试完成后，开发人员进入薪福通CodeFriend低开环境，进入【应用上线】模块对应用进行上线。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8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014604191212622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CF企业版上线的时候默认开通互联网且不可更改（即实际生效网络是办公网+互联网）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9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687595633420909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访问薪福通开放平台进行应用发布</w:t>
      </w:r>
    </w:p>
    <w:p>
      <w:r>
        <w:t>提交上线后，可前往 薪福通开放平台 进行应用发布。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426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16101131636926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42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进入薪福通开放平台，点击管理后台，进入应用管理中，启用应用即可。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5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944913240815284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5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