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应用运维</w:t>
      </w:r>
    </w:p>
    <w:p>
      <w:pPr>
        <w:pStyle w:val="Heading2"/>
      </w:pPr>
      <w:r>
        <w:t>访问薪福通</w:t>
      </w:r>
    </w:p>
    <w:p>
      <w:r>
        <w:t>（企业管理员身份）登录薪福通开放平台。</w:t>
      </w:r>
    </w:p>
    <w:p>
      <w:pPr>
        <w:pStyle w:val="Heading2"/>
      </w:pPr>
      <w:r>
        <w:t>前往企业管理后台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7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9595911821688972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设置应用</w:t>
      </w:r>
    </w:p>
    <w:p>
      <w:r>
        <w:t>选择工作台，点击【应用管理】，选择应用，点击设置可以对应用的可见性进行设置，以及用户授权。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5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494194910547623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8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2331454276791536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应用运维</w:t>
      </w:r>
    </w:p>
    <w:p>
      <w:r>
        <w:t>通过左侧菜单-开发工具跳转至运维页面，进行环境变量、定时任务、网络传输报文加密等配置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1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27990688283138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3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96864706368196568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停用应用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2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27367358874373298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应用下线</w:t>
      </w:r>
    </w:p>
    <w:p>
      <w:r>
        <w:t>进入开发者后台 ——【低代码平台】，点击应用卡片（注：非【应用开发】），进入应用基本信息配置模块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33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306848446427154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点击【版本管理与发布】，点击"应用下线"即可下线应用。应用下线后，薪福通门户中应用入口及相关配置将会被移除。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08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31635178296914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8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