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https://xft-demo.cmburl.cn/XFTPRO-DOCS/pc/container/container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容器组件</w:t>
      </w:r>
    </w:p>
    <w:p>
      <w:r>
        <w:rPr>
          <w:b w:val="0"/>
        </w:rPr>
        <w:t>route: pc/container/container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[https://xft-demo.cmburl.cn/XFTPRO-DOCS/pc/container/container](https://xft-demo.cmburl.cn/XFTPRO-DOCS/pc/container/container)</w:t>
      </w:r>
    </w:p>
    <w:p>
      <w:r>
        <w:rPr>
          <w:b w:val="0"/>
        </w:rPr>
        <w:t>---</w:t>
      </w:r>
    </w:p>
    <w:p>
      <w:r>
        <w:rPr>
          <w:b w:val="0"/>
        </w:rPr>
        <w:t>PC端容器组件Container 容器# Container 容器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初始化方法（initApi）#初始化方法initapi</w:t>
      </w:r>
    </w:p>
    <w:p>
      <w:r>
        <w:rPr>
          <w:b w:val="0"/>
        </w:rPr>
        <w:t>容器整体的初始化数据，支持 api 和手动输入（静态数据）和模型。</w:t>
      </w:r>
    </w:p>
    <w:p>
      <w:pPr>
        <w:pStyle w:val="Heading3"/>
      </w:pPr>
      <w:r>
        <w:t>静态数据（static）#静态数据static</w:t>
      </w:r>
    </w:p>
    <w:p>
      <w:r>
        <w:rPr>
          <w:b w:val="0"/>
        </w:rPr>
        <w:t>配置`"datasourceType": "static"`</w:t>
      </w:r>
    </w:p>
    <w:p>
      <w:pPr>
        <w:pStyle w:val="Heading3"/>
      </w:pPr>
      <w:r>
        <w:t>动态数据（api）#动态数据api</w:t>
      </w:r>
    </w:p>
    <w:p>
      <w:r>
        <w:rPr>
          <w:b w:val="0"/>
        </w:rPr>
        <w:t>配置`"datasourceType": "api"`</w:t>
      </w:r>
    </w:p>
    <w:p>
      <w:pPr>
        <w:pStyle w:val="Heading2"/>
      </w:pPr>
      <w:r>
        <w:t>属性表#属性表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唯一标识 | id | - | 显示组件 id，用户可支持复制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初始化方法 | iniApi |  | 页面初始化方法，获取数据并放入数据域，支持 api 和手动输入（静态数据）和模型 |</w:t>
      </w:r>
    </w:p>
    <w:p>
      <w:r>
        <w:rPr>
          <w:b w:val="0"/>
        </w:rPr>
        <w:t>| 样式 | style |  | 尺寸、字属性、外观、边距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onClick | (params, data, env) =&gt; void; | 点击时 |</w:t>
      </w:r>
    </w:p>
    <w:p>
      <w:r>
        <w:rPr>
          <w:b w:val="0"/>
        </w:rPr>
        <w:t>| onSuccess | (params, data, env) =&gt; void; | 数据初始化成功后 |</w:t>
      </w:r>
    </w:p>
    <w:p>
      <w:pPr>
        <w:pStyle w:val="Heading2"/>
      </w:pPr>
      <w:r>
        <w:t>方法表#方法表</w:t>
      </w:r>
    </w:p>
    <w:p>
      <w:r>
        <w:rPr>
          <w:b w:val="0"/>
        </w:rPr>
        <w:t>| 动作名称 | 动作参数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runContainerInitApi | () =&gt; void | 初始化容器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