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https://xft-demo.cmburl.cn/XFTPRO-DOCS/pc/ui/xftBi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展示组件</w:t>
      </w:r>
    </w:p>
    <w:p>
      <w:r>
        <w:rPr>
          <w:b w:val="0"/>
        </w:rPr>
        <w:t>route: pc/ui/xftBi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[https://xft-demo.cmburl.cn/XFTPRO-DOCS/pc/ui/xftBi](https://xft-demo.cmburl.cn/XFTPRO-DOCS/pc/ui/xftBi)</w:t>
      </w:r>
    </w:p>
    <w:p>
      <w:r>
        <w:rPr>
          <w:b w:val="0"/>
        </w:rPr>
        <w:t>---</w:t>
      </w:r>
    </w:p>
    <w:p>
      <w:r>
        <w:rPr>
          <w:b w:val="0"/>
        </w:rPr>
        <w:t>PC端展示组件XftBI 智数报表# XftBI 智数报表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显示（visible）#显示visible</w:t>
      </w:r>
    </w:p>
    <w:p>
      <w:r>
        <w:rPr>
          <w:b w:val="0"/>
        </w:rPr>
        <w:t>包括开关，默认打开</w:t>
      </w:r>
    </w:p>
    <w:p>
      <w:pPr>
        <w:pStyle w:val="Heading2"/>
      </w:pPr>
      <w:r>
        <w:t>资源类型（resType）#资源类型restype</w:t>
      </w:r>
    </w:p>
    <w:p>
      <w:r>
        <w:rPr>
          <w:b w:val="0"/>
        </w:rPr>
        <w:t>包括仪表盘与数据大屏</w:t>
      </w:r>
    </w:p>
    <w:p>
      <w:pPr>
        <w:pStyle w:val="Heading2"/>
      </w:pPr>
      <w:r>
        <w:t>资源编号（resCode）#资源编号rescode</w:t>
      </w:r>
    </w:p>
    <w:p>
      <w:r>
        <w:rPr>
          <w:b w:val="0"/>
        </w:rPr>
        <w:t>配置与智数报表接口中dashboard_id值相同</w:t>
      </w:r>
    </w:p>
    <w:p>
      <w:pPr>
        <w:pStyle w:val="Heading2"/>
      </w:pPr>
      <w:r>
        <w:t>报表内容宽度（width）#报表内容宽度width</w:t>
      </w:r>
    </w:p>
    <w:p>
      <w:r>
        <w:rPr>
          <w:b w:val="0"/>
        </w:rPr>
        <w:t>可设置成百分比或px格式，默认为百分比</w:t>
      </w:r>
    </w:p>
    <w:p>
      <w:pPr>
        <w:pStyle w:val="Heading2"/>
      </w:pPr>
      <w:r>
        <w:t>报表内容高度（height）#报表内容高度height</w:t>
      </w:r>
    </w:p>
    <w:p>
      <w:r>
        <w:rPr>
          <w:b w:val="0"/>
        </w:rPr>
        <w:t>可设置成百分比或px格式，默认为px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显示 | visiable | TRUE | 显隐配置，支持静态、表达式、角色权限配置 |</w:t>
      </w:r>
    </w:p>
    <w:p>
      <w:r>
        <w:rPr>
          <w:b w:val="0"/>
        </w:rPr>
        <w:t>| 资源类型 | resType | 1 | 选择是否配置仪表盘或数据大屏 |</w:t>
      </w:r>
    </w:p>
    <w:p>
      <w:r>
        <w:rPr>
          <w:b w:val="0"/>
        </w:rPr>
        <w:t>| 资源编号 | resCode |  | 配置智数报表接口中的dashboard_id值 |</w:t>
      </w:r>
    </w:p>
    <w:p>
      <w:r>
        <w:rPr>
          <w:b w:val="0"/>
        </w:rPr>
        <w:t>| 报表内容宽度 | width | 100% | 设置内容宽度 |</w:t>
      </w:r>
    </w:p>
    <w:p>
      <w:r>
        <w:rPr>
          <w:b w:val="0"/>
        </w:rPr>
        <w:t>| 报表内容高度 | height | 300px | 设置内容高度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