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1.流程图</w:t>
      </w:r>
    </w:p>
    <w:p>
      <w:r>
        <w:drawing>
          <wp:inline xmlns:a="http://schemas.openxmlformats.org/drawingml/2006/main" xmlns:pic="http://schemas.openxmlformats.org/drawingml/2006/picture">
            <wp:extent cx="4572000" cy="16007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0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2.业务员在单据内的已开具发票直接申请红冲</w:t>
      </w:r>
    </w:p>
    <w:p>
      <w:r>
        <w:t>建议直接在普通销售合同或应收账单，已开具的蓝字发票，直接申请红冲，提交红字申请单。</w:t>
      </w:r>
    </w:p>
    <w:p>
      <w:r>
        <w:t>说明：通过这种方式，可以直接将红字发票和合同与账单关联。</w:t>
      </w:r>
    </w:p>
    <w:p>
      <w:r>
        <w:t>操作路径：【账款管理-应收-应收管理-应收账单】-“发票页签”-“申请红冲”</w:t>
      </w:r>
    </w:p>
    <w:p>
      <w:r>
        <w:drawing>
          <wp:inline xmlns:a="http://schemas.openxmlformats.org/drawingml/2006/main" xmlns:pic="http://schemas.openxmlformats.org/drawingml/2006/picture">
            <wp:extent cx="4572000" cy="2362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步骤一：进入申请红冲之后，填写红冲金额，点击下一步。</w:t>
      </w:r>
    </w:p>
    <w:p>
      <w:r>
        <w:drawing>
          <wp:inline xmlns:a="http://schemas.openxmlformats.org/drawingml/2006/main" xmlns:pic="http://schemas.openxmlformats.org/drawingml/2006/picture">
            <wp:extent cx="4572000" cy="23526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526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步骤二：选择单据类型，进入开票申请单提单页。</w:t>
      </w:r>
    </w:p>
    <w:p>
      <w:r>
        <w:drawing>
          <wp:inline xmlns:a="http://schemas.openxmlformats.org/drawingml/2006/main" xmlns:pic="http://schemas.openxmlformats.org/drawingml/2006/picture">
            <wp:extent cx="4572000" cy="24108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1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步骤三：补充开票申请单信息，检查开票信息正确且完整，提交进入审批。（如果为免审批，则直接通过）</w:t>
      </w:r>
    </w:p>
    <w:p>
      <w:r>
        <w:drawing>
          <wp:inline xmlns:a="http://schemas.openxmlformats.org/drawingml/2006/main" xmlns:pic="http://schemas.openxmlformats.org/drawingml/2006/picture">
            <wp:extent cx="4572000" cy="25426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2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3.财务根据业务员提交的红字开票申请，开具红字发票</w:t>
      </w:r>
    </w:p>
    <w:p>
      <w:r>
        <w:t>业务员提交的申请单审批通过后，财务人员就可以在发票开具的待开具列表看到，点击发起红冲，即可新增红字确认单，提交后，即可开具红字发票。</w:t>
      </w:r>
    </w:p>
    <w:p>
      <w:r>
        <w:t>说明：请财务人员不要直接在红字确认单发起红冲，无法直接和合同/账单形成数据关联。</w:t>
      </w:r>
    </w:p>
    <w:p>
      <w:r>
        <w:t>操作路径：【账款管理-应收-开票-发票开具】-“待开票页签”-“发起红冲”</w:t>
      </w:r>
    </w:p>
    <w:p>
      <w:r>
        <w:drawing>
          <wp:inline xmlns:a="http://schemas.openxmlformats.org/drawingml/2006/main" xmlns:pic="http://schemas.openxmlformats.org/drawingml/2006/picture">
            <wp:extent cx="4572000" cy="25598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59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步骤一：财务点击发起红冲后，新增红字确认单。</w:t>
      </w:r>
    </w:p>
    <w:p>
      <w:r>
        <w:drawing>
          <wp:inline xmlns:a="http://schemas.openxmlformats.org/drawingml/2006/main" xmlns:pic="http://schemas.openxmlformats.org/drawingml/2006/picture">
            <wp:extent cx="4572000" cy="210978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10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步骤二：选择待红冲的蓝字发票。</w:t>
      </w:r>
    </w:p>
    <w:p>
      <w:r>
        <w:drawing>
          <wp:inline xmlns:a="http://schemas.openxmlformats.org/drawingml/2006/main" xmlns:pic="http://schemas.openxmlformats.org/drawingml/2006/picture">
            <wp:extent cx="4572000" cy="248917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4891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步骤三：补充红字确认单信息，检查开票信息正确且完整，提交税局验证，等待红票开具即可。</w:t>
      </w:r>
    </w:p>
    <w:p>
      <w:r>
        <w:drawing>
          <wp:inline xmlns:a="http://schemas.openxmlformats.org/drawingml/2006/main" xmlns:pic="http://schemas.openxmlformats.org/drawingml/2006/picture">
            <wp:extent cx="4572000" cy="254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步骤四：进入合同或账单内，即可看到蓝字发票和对应的红字发票。</w:t>
      </w:r>
    </w:p>
    <w:p>
      <w:r>
        <w:drawing>
          <wp:inline xmlns:a="http://schemas.openxmlformats.org/drawingml/2006/main" xmlns:pic="http://schemas.openxmlformats.org/drawingml/2006/picture">
            <wp:extent cx="4572000" cy="23622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362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