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流程图</w:t>
      </w:r>
    </w:p>
    <w:p>
      <w:r>
        <w:drawing>
          <wp:inline xmlns:a="http://schemas.openxmlformats.org/drawingml/2006/main" xmlns:pic="http://schemas.openxmlformats.org/drawingml/2006/picture">
            <wp:extent cx="4572000" cy="1799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方式一：通过云直联获取招行账户流水</w:t>
      </w:r>
    </w:p>
    <w:p>
      <w:r>
        <w:t>前置条件：请先联系分行开通云直联，在网银进行云直联授权。</w:t>
      </w:r>
    </w:p>
    <w:p>
      <w:r>
        <w:t>在薪福通账款管理添加已授权的银行账户，即可实现同步流水，系统凌晨自动同步，也支持手动点击同步。</w:t>
      </w:r>
    </w:p>
    <w:p>
      <w:pPr>
        <w:pStyle w:val="Heading2"/>
      </w:pPr>
      <w:r>
        <w:t>1）开通授权</w:t>
      </w:r>
    </w:p>
    <w:p>
      <w:r>
        <w:t>操作路径：【账款管理-系统设置-回款设置-银企直联授权-同步收款流水授权】-“新增银行账户”-“云直联授权”</w:t>
      </w:r>
    </w:p>
    <w:p>
      <w:r>
        <w:t>如果已经在智能费控、智能记账申请过，此处可免申请。</w:t>
      </w:r>
    </w:p>
    <w:p>
      <w:r>
        <w:t>说明：开通云直联可能涉及费用，可提前咨询客户经理。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2）同步流水</w:t>
      </w:r>
    </w:p>
    <w:p>
      <w:r>
        <w:t>操作路径：【账款管理-应收-回款-银行流水-银企直联】-“同步流水”</w:t>
      </w:r>
    </w:p>
    <w:p>
      <w:r>
        <w:t>说明：也可以通过手动新增或Excel模板领导入流水。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方式二：通过CBS获取招行及他行账户流水</w:t>
      </w:r>
    </w:p>
    <w:p>
      <w:r>
        <w:t>操作同【通过云直联获取招行账户流水】即可。</w:t>
      </w:r>
    </w:p>
    <w:p>
      <w:r>
        <w:t>差异主要在于，云直联只能获取招行流水，CBS可获取招行及他行流水。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