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场景：业务员提交了信息有误的开票申请单，待审批人退回后，重新修改再提交</w:t>
      </w:r>
    </w:p>
    <w:p>
      <w:r>
        <w:t>路径：【账款管理-应收-开票-开票申请】-“开票申请”，点击已退回的单据，进入单据详情，点击“重新发起”，重新编辑后提交</w:t>
      </w:r>
    </w:p>
    <w:p>
      <w:r>
        <w:drawing>
          <wp:inline xmlns:a="http://schemas.openxmlformats.org/drawingml/2006/main" xmlns:pic="http://schemas.openxmlformats.org/drawingml/2006/picture">
            <wp:extent cx="4572000" cy="21836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83606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4572000" cy="21836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8360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