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只要基于薪福通的销售合同/应收账单，提交的开票申请单、开具的发票，都可以直接联查数据。</w:t>
      </w:r>
    </w:p>
    <w:p>
      <w:pPr>
        <w:pStyle w:val="Heading2"/>
      </w:pPr>
      <w:r>
        <w:t>1.销售合同/应收账单，联查发票、开票申请单</w:t>
      </w:r>
    </w:p>
    <w:p>
      <w:pPr>
        <w:pStyle w:val="ListBullet"/>
      </w:pPr>
      <w:r>
        <w:t>操作路径：「账款管理-应收-应收管理-销售合同/应收账单-发票页签」。</w:t>
      </w:r>
    </w:p>
    <w:p>
      <w:pPr>
        <w:pStyle w:val="ListBullet"/>
      </w:pPr>
      <w:r>
        <w:t>销售合同/应收账单下，系统开具的蓝票、红票，手工登记的发票（包括手工录入、从票池选择），都会展示在【发票页签】。</w:t>
      </w:r>
    </w:p>
    <w:p>
      <w:pPr>
        <w:pStyle w:val="ListBullet"/>
      </w:pPr>
      <w:r>
        <w:t>【发票页签】下展示开票申请单，开发中，敬请期待。</w:t>
      </w:r>
    </w:p>
    <w:p>
      <w:r>
        <w:drawing>
          <wp:inline xmlns:a="http://schemas.openxmlformats.org/drawingml/2006/main" xmlns:pic="http://schemas.openxmlformats.org/drawingml/2006/picture">
            <wp:extent cx="4572000" cy="2044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2.开票申请单、发票、红字确认单，联查销售合同/应收账单</w:t>
      </w:r>
    </w:p>
    <w:p>
      <w:pPr>
        <w:pStyle w:val="ListBullet"/>
      </w:pPr>
      <w:r>
        <w:t>操作路径：「账款管理-应收-开票-销项发票台账」。</w:t>
      </w:r>
    </w:p>
    <w:p>
      <w:pPr>
        <w:pStyle w:val="ListBullet"/>
      </w:pPr>
      <w:r>
        <w:t>销项发票台账，包括所有在薪福通开具的发票、从税局同步的发票，每一个发票都对应相关的开票申请单、红字确认单、销售合同/应收账单，若有关联数据，则会展示，并支持跳转查看详情。</w:t>
      </w:r>
    </w:p>
    <w:p>
      <w:r>
        <w:drawing>
          <wp:inline xmlns:a="http://schemas.openxmlformats.org/drawingml/2006/main" xmlns:pic="http://schemas.openxmlformats.org/drawingml/2006/picture">
            <wp:extent cx="4572000" cy="2066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4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3.附录：更多开票操作说明</w:t>
      </w:r>
    </w:p>
    <w:p>
      <w:pPr>
        <w:pStyle w:val="ListBullet"/>
      </w:pPr>
      <w:r>
        <w:t>更多开票配置与操作，可查看帮助中心账款操作手册</w:t>
      </w:r>
    </w:p>
    <w:p>
      <w:pPr>
        <w:pStyle w:val="ListBullet"/>
      </w:pPr>
      <w:r>
        <w:t>具体路径：「帮助中心-账款管理-操作指引-具体操作说明-开票」https://xft.cmbchina.com/helpapp/help.html#/help-main/help-detail?random=176655240308991938182041017263029</w:t>
      </w:r>
    </w:p>
    <w:p>
      <w:r>
        <w:drawing>
          <wp:inline xmlns:a="http://schemas.openxmlformats.org/drawingml/2006/main" xmlns:pic="http://schemas.openxmlformats.org/drawingml/2006/picture">
            <wp:extent cx="4572000" cy="2062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20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