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1.在「发票开具」页签操作开票</w:t>
      </w:r>
    </w:p>
    <w:p>
      <w:r>
        <w:t>操作路径：「账款管理-应收-开票-发票开具-待开票」-「开票」。</w:t>
      </w:r>
    </w:p>
    <w:p>
      <w:pPr>
        <w:pStyle w:val="ListBullet"/>
      </w:pPr>
      <w:r>
        <w:t>业务员提交的开票申请单，无需审批或审批通过后，会进入【发票开具】的【待开票】页签。</w:t>
      </w:r>
    </w:p>
    <w:p>
      <w:pPr>
        <w:pStyle w:val="ListBullet"/>
      </w:pPr>
      <w:r>
        <w:t>请确保需要开票的法人公司已经进行开票服务授权，并为财务人员添加开票授权。</w:t>
      </w:r>
    </w:p>
    <w:p>
      <w:pPr>
        <w:pStyle w:val="ListBullet"/>
      </w:pPr>
      <w:r>
        <w:t>授权后，财务人员基于开票申请单操作开票，会直联税局开具发票。</w:t>
      </w:r>
    </w:p>
    <w:p>
      <w:pPr>
        <w:pStyle w:val="ListBullet"/>
      </w:pPr>
      <w:r>
        <w:t>已开具的发票，可在【发票开具-已开票】查看。若开票申请单已填写收票方的邮箱，则可自动发票。也可点击【重新发送】再次发送到其他邮箱。</w:t>
      </w:r>
    </w:p>
    <w:p>
      <w:r>
        <w:drawing>
          <wp:inline xmlns:a="http://schemas.openxmlformats.org/drawingml/2006/main" xmlns:pic="http://schemas.openxmlformats.org/drawingml/2006/picture">
            <wp:extent cx="4572000" cy="2055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55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0657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65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0588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588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