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可以。</w:t>
      </w:r>
    </w:p>
    <w:p>
      <w:r>
        <w:rPr>
          <w:b/>
        </w:rPr>
        <w:t>操作路径</w:t>
      </w:r>
      <w:r>
        <w:t>：「账款管理-应收-应收管理-销售合同/应收账单」-「详情页签-作废/删除」。</w:t>
      </w:r>
    </w:p>
    <w:p>
      <w:pPr>
        <w:pStyle w:val="ListBullet"/>
      </w:pPr>
      <w:r>
        <w:t>单据不可以作废/删除：当已产生了可以查看详情的发票（包括在薪福通开具，或从票池关联税局的发票），销售合同/应收账单的已开票金额＞0</w:t>
      </w:r>
    </w:p>
    <w:p>
      <w:pPr>
        <w:pStyle w:val="ListBullet"/>
      </w:pPr>
      <w:r>
        <w:t>单据可以作废，但不可以删除：当已经产生了可以查看详情的发票，也发生过红冲，销售合同/应收账单的已开票金额=0</w:t>
      </w:r>
    </w:p>
    <w:p>
      <w:pPr>
        <w:pStyle w:val="ListBullet"/>
      </w:pPr>
      <w:r>
        <w:t>可以作废/删除：当没有可以查看详情的发票，只是通过手工录入的发票信息，或通过初始化导入的历史发票数据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