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</w:t>
      </w:r>
      <w:r>
        <w:rPr>
          <w:b/>
        </w:rPr>
        <w:t>操作路径</w:t>
      </w:r>
      <w:r>
        <w:t>：「账款管理--应收-应收管理-销售合同/应收账单-发票页签」</w:t>
      </w:r>
    </w:p>
    <w:p>
      <w:r>
        <w:t xml:space="preserve"> 重新获取可开票金额，即可重新开票，主要包括以下方式：</w:t>
      </w:r>
    </w:p>
    <w:p>
      <w:r>
        <w:t>①　如果是实际已开具的蓝字发票错误，需要先申请红冲。</w:t>
      </w:r>
    </w:p>
    <w:p>
      <w:r>
        <w:t>②　如果是手工录入的发票信息错误，可以手工录入一个负数金额冲抵原有金额。</w:t>
      </w:r>
    </w:p>
    <w:p>
      <w:r>
        <w:t>申请开票和手工录入方式同上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