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tabs>
          <w:tab w:val="left" w:pos="1070"/>
        </w:tabs>
        <w:spacing w:after="0" w:before="0" w:line="240" w:lineRule="auto"/>
        <w:ind w:left="630" w:right="0" w:firstLine="0"/>
        <w:contextualSpacing w:val="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-114299</wp:posOffset>
                </wp:positionV>
                <wp:extent cx="5610225" cy="424180"/>
                <wp:effectExtent b="0" l="0" r="0" t="0"/>
                <wp:wrapNone/>
                <wp:docPr id="1" name=""/>
                <a:graphic>
                  <a:graphicData uri="http://schemas.microsoft.com/office/word/2010/wordprocessingShape">
                    <wps:wsp>
                      <wps:cNvSpPr/>
                      <wps:cNvPr id="2" name="Shape 2"/>
                      <wps:spPr>
                        <a:xfrm>
                          <a:off x="2545650" y="3572673"/>
                          <a:ext cx="5600700" cy="414655"/>
                        </a:xfrm>
                        <a:prstGeom prst="rect">
                          <a:avLst/>
                        </a:prstGeom>
                        <a:solidFill>
                          <a:srgbClr val="CC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演習１３　監査実施（１）</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1"/>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-114299</wp:posOffset>
                </wp:positionV>
                <wp:extent cx="5610225" cy="42418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10225" cy="424180"/>
                        </a:xfrm>
                        <a:prstGeom prst="rect"/>
                        <a:ln/>
                      </pic:spPr>
                    </pic:pic>
                  </a:graphicData>
                </a:graphic>
              </wp:anchor>
            </w:drawing>
          </mc:Fallback>
        </mc:AlternateConten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80" w:line="240" w:lineRule="auto"/>
        <w:ind w:left="420" w:right="0" w:firstLine="210"/>
        <w:contextualSpacing w:val="0"/>
        <w:jc w:val="both"/>
        <w:rPr>
          <w:rFonts w:ascii="ＭＳ Ｐ明朝" w:cs="ＭＳ Ｐ明朝" w:eastAsia="ＭＳ Ｐ明朝" w:hAnsi="ＭＳ Ｐ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演習１２で作成した営業部の個別監査計画に基づき、Sサービス株式会社の内部監査を実施しました。内部監査で実施されたインタビューの記録は、テストケースに示された通りです。</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判断においては、JIS Q 27001:2006の「A.7　資産の管理」を対象として下さい。</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9" w:right="0" w:hanging="160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d9d9d9" w:val="clear"/>
          <w:vertAlign w:val="baseline"/>
          <w:rtl w:val="0"/>
        </w:rPr>
        <w:t xml:space="preserve">演習１３－１．</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不適合報告書を作成します。不適合報告書の空欄を埋めてみてください。</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center"/>
        <w:rPr>
          <w:rFonts w:ascii="ＭＳ 明朝" w:cs="ＭＳ 明朝" w:eastAsia="ＭＳ 明朝" w:hAnsi="ＭＳ 明朝"/>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center"/>
        <w:rPr>
          <w:rFonts w:ascii="ＭＳ 明朝" w:cs="ＭＳ 明朝" w:eastAsia="ＭＳ 明朝" w:hAnsi="ＭＳ 明朝"/>
          <w:b w:val="0"/>
          <w:i w:val="0"/>
          <w:smallCaps w:val="0"/>
          <w:strike w:val="0"/>
          <w:color w:val="000000"/>
          <w:sz w:val="24"/>
          <w:szCs w:val="24"/>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center"/>
        <w:rPr>
          <w:rFonts w:ascii="ＭＳ 明朝" w:cs="ＭＳ 明朝" w:eastAsia="ＭＳ 明朝" w:hAnsi="ＭＳ 明朝"/>
          <w:b w:val="0"/>
          <w:i w:val="0"/>
          <w:smallCaps w:val="0"/>
          <w:strike w:val="0"/>
          <w:color w:val="000000"/>
          <w:sz w:val="36"/>
          <w:szCs w:val="36"/>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36"/>
          <w:szCs w:val="36"/>
          <w:u w:val="single"/>
          <w:shd w:fill="auto" w:val="clear"/>
          <w:vertAlign w:val="baseline"/>
          <w:rtl w:val="0"/>
        </w:rPr>
        <w:t xml:space="preserve">不適合報告書</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righ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文書番号：ISMS-監査-06-008</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righ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作成：平成</w:t>
      </w:r>
      <w:r w:rsidDel="00000000" w:rsidR="00000000" w:rsidRPr="00000000">
        <w:rPr>
          <w:rFonts w:ascii="ＭＳ 明朝" w:cs="ＭＳ 明朝" w:eastAsia="ＭＳ 明朝" w:hAnsi="ＭＳ 明朝"/>
          <w:sz w:val="21"/>
          <w:szCs w:val="21"/>
          <w:rtl w:val="0"/>
        </w:rPr>
        <w:t xml:space="preserve">３０</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年１０月２０日</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righ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承認：監査責任者（総務部長）</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righ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作成：営業部監査担当（総務部 システム管理者）</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4"/>
          <w:szCs w:val="24"/>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4"/>
          <w:szCs w:val="24"/>
          <w:u w:val="none"/>
          <w:shd w:fill="auto" w:val="clear"/>
          <w:vertAlign w:val="baseline"/>
          <w:rtl w:val="0"/>
        </w:rPr>
        <w:t xml:space="preserve">（１）不適合の対象となる監査基準の項目</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d9d9d9" w:val="clear"/>
          <w:vertAlign w:val="baseline"/>
          <w:rtl w:val="0"/>
        </w:rPr>
        <w:t xml:space="preserve">演習13-1-1.</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JIS Q 27001:2006 「A.7 資産の管理」の項目のどの管理策に対して適合していないかを書いてください。</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sz w:val="21"/>
          <w:szCs w:val="21"/>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・A7.1.1 </w:t>
        <w:tab/>
        <w:t xml:space="preserve">資産目録</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・A7.1.2</w:t>
        <w:tab/>
        <w:t xml:space="preserve">管理責任者</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・A7.1.3</w:t>
        <w:tab/>
        <w:t xml:space="preserve">資産利用の許容範囲</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・A7.2.1</w:t>
        <w:tab/>
        <w:t xml:space="preserve">分類の指針</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Fonts w:ascii="ＭＳ 明朝" w:cs="ＭＳ 明朝" w:eastAsia="ＭＳ 明朝" w:hAnsi="ＭＳ 明朝"/>
          <w:sz w:val="21"/>
          <w:szCs w:val="21"/>
          <w:rtl w:val="0"/>
        </w:rPr>
        <w:t xml:space="preserve">・A7.2.2　情報のラベル付け及び取り扱い</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sz w:val="24"/>
          <w:szCs w:val="24"/>
        </w:rPr>
      </w:pPr>
      <w:r w:rsidDel="00000000" w:rsidR="00000000" w:rsidRPr="00000000">
        <w:rPr>
          <w:rFonts w:ascii="ＭＳ 明朝" w:cs="ＭＳ 明朝" w:eastAsia="ＭＳ 明朝" w:hAnsi="ＭＳ 明朝"/>
          <w:b w:val="0"/>
          <w:i w:val="0"/>
          <w:smallCaps w:val="0"/>
          <w:strike w:val="0"/>
          <w:color w:val="000000"/>
          <w:sz w:val="24"/>
          <w:szCs w:val="24"/>
          <w:u w:val="none"/>
          <w:shd w:fill="auto" w:val="clear"/>
          <w:vertAlign w:val="baseline"/>
          <w:rtl w:val="0"/>
        </w:rPr>
        <w:t xml:space="preserve">（２）監査で得られた証拠</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１．現地調査の被監査部門対象者へのインタビュー（A7.2.2）</w:t>
      </w:r>
    </w:p>
    <w:p w:rsidR="00000000" w:rsidDel="00000000" w:rsidP="00000000" w:rsidRDefault="00000000" w:rsidRPr="00000000" w14:paraId="0000001C">
      <w:pPr>
        <w:widowControl w:val="0"/>
        <w:ind w:lef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「秘密」「極秘」「社外秘」とファイルボックスにラベルで分けられるべきであるが、実際にはラベル分けがされていない。</w:t>
      </w:r>
    </w:p>
    <w:p w:rsidR="00000000" w:rsidDel="00000000" w:rsidP="00000000" w:rsidRDefault="00000000" w:rsidRPr="00000000" w14:paraId="0000001D">
      <w:pPr>
        <w:widowControl w:val="0"/>
        <w:ind w:left="0" w:firstLine="0"/>
        <w:contextualSpacing w:val="0"/>
        <w:jc w:val="both"/>
        <w:rPr>
          <w:rFonts w:ascii="ＭＳ 明朝" w:cs="ＭＳ 明朝" w:eastAsia="ＭＳ 明朝" w:hAnsi="ＭＳ 明朝"/>
          <w:sz w:val="21"/>
          <w:szCs w:val="21"/>
        </w:rPr>
      </w:pPr>
      <w:r w:rsidDel="00000000" w:rsidR="00000000" w:rsidRPr="00000000">
        <w:rPr>
          <w:rtl w:val="0"/>
        </w:rPr>
      </w:r>
    </w:p>
    <w:p w:rsidR="00000000" w:rsidDel="00000000" w:rsidP="00000000" w:rsidRDefault="00000000" w:rsidRPr="00000000" w14:paraId="0000001E">
      <w:pPr>
        <w:widowControl w:val="0"/>
        <w:ind w:lef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２．ヒアリングから (A7.1.1 / A7.1.2 / A7.1.3 / A7.2.1 / A7.2.2)</w:t>
      </w:r>
    </w:p>
    <w:p w:rsidR="00000000" w:rsidDel="00000000" w:rsidP="00000000" w:rsidRDefault="00000000" w:rsidRPr="00000000" w14:paraId="0000001F">
      <w:pPr>
        <w:widowControl w:val="0"/>
        <w:ind w:lef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利用者端末の設定手順書でメールでのデータやり取りに関することの規定に関しての記録がない。</w:t>
      </w:r>
    </w:p>
    <w:p w:rsidR="00000000" w:rsidDel="00000000" w:rsidP="00000000" w:rsidRDefault="00000000" w:rsidRPr="00000000" w14:paraId="00000020">
      <w:pPr>
        <w:widowControl w:val="0"/>
        <w:ind w:lef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そのため資産目録に記載されておらず管理責任者が定められておらず、資産利用の許容範囲が文書化されておらず、分類の指針がなく、ラベル付けおよび組織の採用した分類体系による取り扱いが行われていない。</w:t>
      </w:r>
    </w:p>
    <w:p w:rsidR="00000000" w:rsidDel="00000000" w:rsidP="00000000" w:rsidRDefault="00000000" w:rsidRPr="00000000" w14:paraId="00000021">
      <w:pPr>
        <w:widowControl w:val="0"/>
        <w:ind w:left="0" w:firstLine="0"/>
        <w:contextualSpacing w:val="0"/>
        <w:jc w:val="both"/>
        <w:rPr>
          <w:rFonts w:ascii="ＭＳ 明朝" w:cs="ＭＳ 明朝" w:eastAsia="ＭＳ 明朝" w:hAnsi="ＭＳ 明朝"/>
          <w:sz w:val="21"/>
          <w:szCs w:val="21"/>
        </w:rPr>
      </w:pPr>
      <w:r w:rsidDel="00000000" w:rsidR="00000000" w:rsidRPr="00000000">
        <w:rPr>
          <w:rtl w:val="0"/>
        </w:rPr>
      </w:r>
    </w:p>
    <w:p w:rsidR="00000000" w:rsidDel="00000000" w:rsidP="00000000" w:rsidRDefault="00000000" w:rsidRPr="00000000" w14:paraId="00000022">
      <w:pPr>
        <w:widowControl w:val="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3．ヒアリング/現地調査から(A7.1.2)</w:t>
      </w:r>
    </w:p>
    <w:p w:rsidR="00000000" w:rsidDel="00000000" w:rsidP="00000000" w:rsidRDefault="00000000" w:rsidRPr="00000000" w14:paraId="00000023">
      <w:pPr>
        <w:widowControl w:val="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組織内における情報の管理責任者について、証拠を得ることができなかった。</w:t>
      </w:r>
    </w:p>
    <w:p w:rsidR="00000000" w:rsidDel="00000000" w:rsidP="00000000" w:rsidRDefault="00000000" w:rsidRPr="00000000" w14:paraId="00000024">
      <w:pPr>
        <w:widowControl w:val="0"/>
        <w:contextualSpacing w:val="0"/>
        <w:jc w:val="both"/>
        <w:rPr>
          <w:rFonts w:ascii="ＭＳ 明朝" w:cs="ＭＳ 明朝" w:eastAsia="ＭＳ 明朝" w:hAnsi="ＭＳ 明朝"/>
          <w:sz w:val="21"/>
          <w:szCs w:val="21"/>
        </w:rPr>
      </w:pPr>
      <w:r w:rsidDel="00000000" w:rsidR="00000000" w:rsidRPr="00000000">
        <w:rPr>
          <w:rtl w:val="0"/>
        </w:rPr>
      </w:r>
    </w:p>
    <w:p w:rsidR="00000000" w:rsidDel="00000000" w:rsidP="00000000" w:rsidRDefault="00000000" w:rsidRPr="00000000" w14:paraId="00000025">
      <w:pPr>
        <w:widowControl w:val="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4.ヒアリング./現地調査から</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資産利用の許容範囲に関する規則が文書化されているという証拠をえることができなかった。</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sz w:val="21"/>
          <w:szCs w:val="21"/>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ＭＳ 明朝" w:cs="ＭＳ 明朝" w:eastAsia="ＭＳ 明朝" w:hAnsi="ＭＳ 明朝"/>
          <w:b w:val="0"/>
          <w:i w:val="0"/>
          <w:smallCaps w:val="0"/>
          <w:strike w:val="0"/>
          <w:color w:val="000000"/>
          <w:sz w:val="24"/>
          <w:szCs w:val="24"/>
          <w:u w:val="none"/>
          <w:shd w:fill="auto" w:val="clear"/>
          <w:vertAlign w:val="baseline"/>
          <w:rtl w:val="0"/>
        </w:rPr>
        <w:t xml:space="preserve">（３）判断結果</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138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d9d9d9" w:val="clear"/>
          <w:vertAlign w:val="baseline"/>
          <w:rtl w:val="0"/>
        </w:rPr>
        <w:t xml:space="preserve">演習13-1-3.</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演習13-1-2．で得られた証拠から、重大な不適合、軽微な不適合、改善の機会のどれにあたると考えられるか、書いてください。</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１．改善の機会</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２．重大な不具合</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３．改善の機会</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４．改善の機会</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4"/>
          <w:szCs w:val="24"/>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4"/>
          <w:szCs w:val="24"/>
          <w:u w:val="none"/>
          <w:shd w:fill="auto" w:val="clear"/>
          <w:vertAlign w:val="baseline"/>
          <w:rtl w:val="0"/>
        </w:rPr>
        <w:t xml:space="preserve">（４）判断理由</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138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d9d9d9" w:val="clear"/>
          <w:vertAlign w:val="baseline"/>
          <w:rtl w:val="0"/>
        </w:rPr>
        <w:t xml:space="preserve">演習13-1-4.</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演習13-1-2から得られた証拠（事実）を考慮して、演習13-1-1で選んだ監査基準の項目に対し、演習13-1-3の判断を行った理由を書いてください。</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1380"/>
        <w:contextualSpacing w:val="0"/>
        <w:jc w:val="both"/>
        <w:rPr>
          <w:rFonts w:ascii="ＭＳ 明朝" w:cs="ＭＳ 明朝" w:eastAsia="ＭＳ 明朝" w:hAnsi="ＭＳ 明朝"/>
          <w:sz w:val="21"/>
          <w:szCs w:val="21"/>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1380"/>
        <w:contextualSpacing w:val="0"/>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１．現地調査にて運用ルールが遵守されている十分な証拠がなかったため。</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138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２．ヒアリングにてデータのやり取りや規定に関する記録が存在しなかったため。</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138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３．ヒアリング及び現地調査にて十分な証拠を得ることができなかったため。</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1380"/>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４．ヒアリング及び現地調査にて十分な証拠を得ることができなかったため。</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1380"/>
        <w:contextualSpacing w:val="0"/>
        <w:jc w:val="both"/>
        <w:rPr>
          <w:rFonts w:ascii="ＭＳ 明朝" w:cs="ＭＳ 明朝" w:eastAsia="ＭＳ 明朝" w:hAnsi="ＭＳ 明朝"/>
          <w:sz w:val="21"/>
          <w:szCs w:val="21"/>
        </w:rPr>
      </w:pPr>
      <w:r w:rsidDel="00000000" w:rsidR="00000000" w:rsidRPr="00000000">
        <w:rPr>
          <w:rtl w:val="0"/>
        </w:rPr>
      </w:r>
    </w:p>
    <w:sectPr>
      <w:headerReference r:id="rId7" w:type="default"/>
      <w:pgSz w:h="16838" w:w="11906"/>
      <w:pgMar w:bottom="720" w:top="1440" w:left="1440" w:right="1286"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ＭＳ Ｐ明朝"/>
  <w:font w:name="Century"/>
  <w:font w:name="ＭＳ 明朝"/>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8190" w:right="0" w:firstLine="0"/>
      <w:contextualSpacing w:val="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