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设计报告</w:t>
      </w:r>
    </w:p>
    <w:p>
      <w:pPr>
        <w:pStyle w:val="Heading2"/>
      </w:pPr>
      <w:r>
        <w:t>问题定义</w:t>
      </w:r>
    </w:p>
    <w:p>
      <w:r>
        <w:t>用户与痛点。</w:t>
      </w:r>
    </w:p>
    <w:p>
      <w:pPr>
        <w:pStyle w:val="Heading2"/>
      </w:pPr>
      <w:r>
        <w:t>设计目标</w:t>
      </w:r>
    </w:p>
    <w:p>
      <w:r>
        <w:t>成功标准。</w:t>
      </w:r>
    </w:p>
    <w:p>
      <w:pPr>
        <w:pStyle w:val="Heading2"/>
      </w:pPr>
      <w:r>
        <w:t>方案概述</w:t>
      </w:r>
    </w:p>
    <w:p>
      <w:r>
        <w:t>核心交互与视觉方向。</w:t>
      </w:r>
    </w:p>
    <w:p>
      <w:pPr>
        <w:pStyle w:val="Heading2"/>
      </w:pPr>
      <w:r>
        <w:t>验收要点</w:t>
      </w:r>
    </w:p>
    <w:p>
      <w:r>
        <w:t>可测标准。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