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系统设计说明</w:t>
      </w:r>
    </w:p>
    <w:p>
      <w:pPr>
        <w:pStyle w:val="Heading2"/>
      </w:pPr>
      <w:r>
        <w:t>需求摘要</w:t>
      </w:r>
    </w:p>
    <w:p>
      <w:r>
        <w:t>功能与非功能需求。</w:t>
      </w:r>
    </w:p>
    <w:p>
      <w:pPr>
        <w:pStyle w:val="Heading2"/>
      </w:pPr>
      <w:r>
        <w:t>架构总览</w:t>
      </w:r>
    </w:p>
    <w:p>
      <w:r>
        <w:t>组件与边界。</w:t>
      </w:r>
    </w:p>
    <w:p>
      <w:pPr>
        <w:pStyle w:val="Heading2"/>
      </w:pPr>
      <w:r>
        <w:t>数据流</w:t>
      </w:r>
    </w:p>
    <w:p>
      <w:r>
        <w:t>关键路径与存储。</w:t>
      </w:r>
    </w:p>
    <w:p>
      <w:pPr>
        <w:pStyle w:val="Heading2"/>
      </w:pPr>
      <w:r>
        <w:t>接口</w:t>
      </w:r>
    </w:p>
    <w:p>
      <w:r>
        <w:t>主要 API / 事件。</w:t>
      </w:r>
    </w:p>
    <w:p>
      <w:pPr>
        <w:pStyle w:val="Heading2"/>
      </w:pPr>
      <w:r>
        <w:t>权衡与运维</w:t>
      </w:r>
    </w:p>
    <w:p>
      <w:r>
        <w:t>取舍、监控与发布。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