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c71a34225160d7430b411e0c581dfa25df2f04"/>
    <w:p>
      <w:pPr>
        <w:pStyle w:val="Heading1"/>
      </w:pPr>
      <w:r>
        <w:t xml:space="preserve">Variable Definitions, Coding Schemes, and Transformations</w:t>
      </w:r>
    </w:p>
    <w:bookmarkEnd w:id="20"/>
    <w:bookmarkStart w:id="48" w:name="变量定义编码方案和转换说明"/>
    <w:p>
      <w:pPr>
        <w:pStyle w:val="Heading1"/>
      </w:pPr>
      <w:r>
        <w:t xml:space="preserve">变量定义、编码方案和转换说明</w:t>
      </w:r>
    </w:p>
    <w:p>
      <w:r>
        <w:pict>
          <v:rect style="width:0;height:1.5pt" o:hralign="center" o:hrstd="t" o:hr="t"/>
        </w:pict>
      </w:r>
    </w:p>
    <w:bookmarkStart w:id="21" w:name="identification-variables-标识变量"/>
    <w:p>
      <w:pPr>
        <w:pStyle w:val="Heading2"/>
      </w:pPr>
      <w:r>
        <w:t xml:space="preserve">1. Identification Variables / 标识变量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F0001-F2847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family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identifier (6 per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E1-E6, C1-C6, W1-W6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code by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Eastern/Central/Western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identifier (7 per city)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demographic-variables-人口统计变量"/>
    <w:p>
      <w:pPr>
        <w:pStyle w:val="Heading2"/>
      </w:pPr>
      <w:r>
        <w:t xml:space="preserve">2. Demographic Variables / 人口统计变量</w:t>
      </w:r>
    </w:p>
    <w:bookmarkStart w:id="22" w:name="urban-rural-classification-城乡分类"/>
    <w:p>
      <w:pPr>
        <w:pStyle w:val="Heading3"/>
      </w:pPr>
      <w:r>
        <w:t xml:space="preserve">2.1 Urban-Rural Classification / 城乡分类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Urban_Rural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Urban, 0 = Rural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Urban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Rural</w:t>
            </w:r>
            <w:r>
              <w:t xml:space="preserve">”</w:t>
            </w:r>
          </w:p>
        </w:tc>
      </w:tr>
    </w:tbl>
    <w:bookmarkEnd w:id="22"/>
    <w:bookmarkStart w:id="23" w:name="gender-variables-性别变量"/>
    <w:p>
      <w:pPr>
        <w:pStyle w:val="Heading3"/>
      </w:pPr>
      <w:r>
        <w:t xml:space="preserve">2.2 Gender Variables / 性别变量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Male (Father), 2 = Female (Mother)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Male, 2 = Female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Male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Female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Male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Female</w:t>
            </w:r>
            <w:r>
              <w:t xml:space="preserve">”</w:t>
            </w:r>
          </w:p>
        </w:tc>
      </w:tr>
    </w:tbl>
    <w:bookmarkEnd w:id="23"/>
    <w:bookmarkStart w:id="24" w:name="age-variables-年龄变量"/>
    <w:p>
      <w:pPr>
        <w:pStyle w:val="Heading3"/>
      </w:pPr>
      <w:r>
        <w:t xml:space="preserve">2.3 Age Variables / 年龄变量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12.0-25.9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(one decimal)</w:t>
            </w:r>
          </w:p>
        </w:tc>
      </w:tr>
    </w:tbl>
    <w:bookmarkEnd w:id="24"/>
    <w:bookmarkStart w:id="25" w:name="education-教育水平"/>
    <w:p>
      <w:pPr>
        <w:pStyle w:val="Heading3"/>
      </w:pPr>
      <w:r>
        <w:t xml:space="preserve">2.4 Education / 教育水平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Primary school / 小学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 = Junior high school / 初中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= Senior high school / 高中/中专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 = Bachelor’s degree / 本科/大专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 = Master’s degree / 硕士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 = Doctoral degree / 博士</w:t>
            </w:r>
          </w:p>
        </w:tc>
      </w:tr>
    </w:tbl>
    <w:bookmarkEnd w:id="25"/>
    <w:bookmarkStart w:id="26" w:name="socioeconomic-status-社会经济地位"/>
    <w:p>
      <w:pPr>
        <w:pStyle w:val="Heading3"/>
      </w:pPr>
      <w:r>
        <w:t xml:space="preserve">2.5 Socioeconomic Status / 社会经济地位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1320"/>
        <w:gridCol w:w="15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Family_SES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index based on income, occupation, assets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cale-item-variables-量表题项变量"/>
    <w:p>
      <w:pPr>
        <w:pStyle w:val="Heading2"/>
      </w:pPr>
      <w:r>
        <w:t xml:space="preserve">3. Scale Item Variables / 量表题项变量</w:t>
      </w:r>
    </w:p>
    <w:bookmarkStart w:id="28" w:name="parent-cultural-identity-items-父母文化认同题项"/>
    <w:p>
      <w:pPr>
        <w:pStyle w:val="Heading3"/>
      </w:pPr>
      <w:r>
        <w:t xml:space="preserve">3.1 Parent Cultural Identity Items / 父母文化认同题项</w:t>
      </w:r>
    </w:p>
    <w:p>
      <w:pPr>
        <w:pStyle w:val="FirstParagraph"/>
      </w:pPr>
      <w:r>
        <w:rPr>
          <w:bCs/>
          <w:b/>
        </w:rPr>
        <w:t xml:space="preserve">Cognitive Dimension / 认知维度 (6 items)</w:t>
      </w:r>
      <w:r>
        <w:t xml:space="preserve"> </w:t>
      </w:r>
      <w:r>
        <w:t xml:space="preserve">| Item | Content | Scale |</w:t>
      </w:r>
      <w:r>
        <w:t xml:space="preserve"> </w:t>
      </w:r>
      <w:r>
        <w:t xml:space="preserve">|——|———|——-|</w:t>
      </w:r>
      <w:r>
        <w:t xml:space="preserve"> </w:t>
      </w:r>
      <w:r>
        <w:t xml:space="preserve">| P_Cog1 | Understanding of historical origins | 1-7 Likert |</w:t>
      </w:r>
      <w:r>
        <w:t xml:space="preserve"> </w:t>
      </w:r>
      <w:r>
        <w:t xml:space="preserve">| P_Cog2 | Recognition of genre characteristics | 1-7 Likert |</w:t>
      </w:r>
      <w:r>
        <w:t xml:space="preserve"> </w:t>
      </w:r>
      <w:r>
        <w:t xml:space="preserve">| P_Cog3 | Knowledge of representative works | 1-7 Likert |</w:t>
      </w:r>
      <w:r>
        <w:t xml:space="preserve"> </w:t>
      </w:r>
      <w:r>
        <w:t xml:space="preserve">| P_Cog4 | Understanding of cultural connotations | 1-7 Likert |</w:t>
      </w:r>
      <w:r>
        <w:t xml:space="preserve"> </w:t>
      </w:r>
      <w:r>
        <w:t xml:space="preserve">| P_Cog5 | Ability to explain artistic features | 1-7 Likert |</w:t>
      </w:r>
      <w:r>
        <w:t xml:space="preserve"> </w:t>
      </w:r>
      <w:r>
        <w:t xml:space="preserve">| P_Cog6 | Understanding of cultural significance | 1-7 Likert |</w:t>
      </w:r>
    </w:p>
    <w:p>
      <w:pPr>
        <w:pStyle w:val="BodyText"/>
      </w:pPr>
      <w:r>
        <w:rPr>
          <w:bCs/>
          <w:b/>
        </w:rPr>
        <w:t xml:space="preserve">Affective Dimension / 情感维度 (5 items)</w:t>
      </w:r>
      <w:r>
        <w:t xml:space="preserve"> </w:t>
      </w:r>
      <w:r>
        <w:t xml:space="preserve">| Item | Content | Scale |</w:t>
      </w:r>
      <w:r>
        <w:t xml:space="preserve"> </w:t>
      </w:r>
      <w:r>
        <w:t xml:space="preserve">|——|———|——-|</w:t>
      </w:r>
      <w:r>
        <w:t xml:space="preserve"> </w:t>
      </w:r>
      <w:r>
        <w:t xml:space="preserve">| P_Aff1 | Pride when watching performances | 1-7 Likert |</w:t>
      </w:r>
      <w:r>
        <w:t xml:space="preserve"> </w:t>
      </w:r>
      <w:r>
        <w:t xml:space="preserve">| P_Aff2 | Sense of cultural belonging | 1-7 Likert |</w:t>
      </w:r>
      <w:r>
        <w:t xml:space="preserve"> </w:t>
      </w:r>
      <w:r>
        <w:t xml:space="preserve">| P_Aff3 | Emotional resonance with art | 1-7 Likert |</w:t>
      </w:r>
      <w:r>
        <w:t xml:space="preserve"> </w:t>
      </w:r>
      <w:r>
        <w:t xml:space="preserve">| P_Aff4 | Attachment to cultural heritage | 1-7 Likert |</w:t>
      </w:r>
      <w:r>
        <w:t xml:space="preserve"> </w:t>
      </w:r>
      <w:r>
        <w:t xml:space="preserve">| P_Aff5 | Cultural identity and confidence | 1-7 Likert |</w:t>
      </w:r>
    </w:p>
    <w:p>
      <w:pPr>
        <w:pStyle w:val="BodyText"/>
      </w:pPr>
      <w:r>
        <w:rPr>
          <w:bCs/>
          <w:b/>
        </w:rPr>
        <w:t xml:space="preserve">Behavioral Dimension / 行为维度 (5 items)</w:t>
      </w:r>
      <w:r>
        <w:t xml:space="preserve"> </w:t>
      </w:r>
      <w:r>
        <w:t xml:space="preserve">| Item | Content | Scale |</w:t>
      </w:r>
      <w:r>
        <w:t xml:space="preserve"> </w:t>
      </w:r>
      <w:r>
        <w:t xml:space="preserve">|——|———|——-|</w:t>
      </w:r>
      <w:r>
        <w:t xml:space="preserve"> </w:t>
      </w:r>
      <w:r>
        <w:t xml:space="preserve">| P_Beh1 | Active seeking of performances | 1-7 Likert |</w:t>
      </w:r>
      <w:r>
        <w:t xml:space="preserve"> </w:t>
      </w:r>
      <w:r>
        <w:t xml:space="preserve">| P_Beh2 | Sharing information with others | 1-7 Likert |</w:t>
      </w:r>
      <w:r>
        <w:t xml:space="preserve"> </w:t>
      </w:r>
      <w:r>
        <w:t xml:space="preserve">| P_Beh3 | Participation in cultural activities | 1-7 Likert |</w:t>
      </w:r>
      <w:r>
        <w:t xml:space="preserve"> </w:t>
      </w:r>
      <w:r>
        <w:t xml:space="preserve">| P_Beh4 | Support for preservation | 1-7 Likert |</w:t>
      </w:r>
      <w:r>
        <w:t xml:space="preserve"> </w:t>
      </w:r>
      <w:r>
        <w:t xml:space="preserve">| P_Beh5 | Willingness to learn and practice | 1-7 Likert |</w:t>
      </w:r>
    </w:p>
    <w:bookmarkEnd w:id="28"/>
    <w:bookmarkStart w:id="29" w:name="child-cultural-identity-items-子女文化认同题项"/>
    <w:p>
      <w:pPr>
        <w:pStyle w:val="Heading3"/>
      </w:pPr>
      <w:r>
        <w:t xml:space="preserve">3.2 Child Cultural Identity Items / 子女文化认同题项</w:t>
      </w:r>
    </w:p>
    <w:p>
      <w:pPr>
        <w:pStyle w:val="FirstParagraph"/>
      </w:pPr>
      <w:r>
        <w:t xml:space="preserve">Same structure as parent items with prefix C_ (C_Cog1-6, C_Aff1-5, C_Beh1-5)</w:t>
      </w:r>
    </w:p>
    <w:bookmarkEnd w:id="29"/>
    <w:bookmarkStart w:id="30" w:name="X18c56b636bb77c0a16761e1a9888f05854cd71f"/>
    <w:p>
      <w:pPr>
        <w:pStyle w:val="Heading3"/>
      </w:pPr>
      <w:r>
        <w:t xml:space="preserve">3.3 Family Socialization Investment / 家庭社会化投入 (4 items)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discussions of opera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 Likert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Parental encouragement to 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 Likert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investment in cultural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 Likert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as role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 Likert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composite-score-variables-合成分数变量"/>
    <w:p>
      <w:pPr>
        <w:pStyle w:val="Heading2"/>
      </w:pPr>
      <w:r>
        <w:t xml:space="preserve">4. Composite Score Variables / 合成分数变量</w:t>
      </w:r>
    </w:p>
    <w:bookmarkStart w:id="32" w:name="calculation-method-计算方法"/>
    <w:p>
      <w:pPr>
        <w:pStyle w:val="Heading3"/>
      </w:pPr>
      <w:r>
        <w:t xml:space="preserve">4.1 Calculation Method / 计算方法</w:t>
      </w:r>
    </w:p>
    <w:p>
      <w:pPr>
        <w:pStyle w:val="FirstParagraph"/>
      </w:pPr>
      <w:r>
        <w:t xml:space="preserve">All composite scores are calculated as arithmetic means of their component items.</w:t>
      </w:r>
    </w:p>
    <w:p>
      <w:pPr>
        <w:pStyle w:val="BodyText"/>
      </w:pPr>
      <w:r>
        <w:rPr>
          <w:bCs/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Composite_Score = Σ(Item_i) / n</w:t>
      </w:r>
    </w:p>
    <w:bookmarkEnd w:id="32"/>
    <w:bookmarkStart w:id="33" w:name="parent-identity-scores-父母认同分数"/>
    <w:p>
      <w:pPr>
        <w:pStyle w:val="Heading3"/>
      </w:pPr>
      <w:r>
        <w:t xml:space="preserve">4.2 Parent Identity Scores / 父母认同分数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Parent_Cog_Mean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Mean(P_Cog1:P_Cog6)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Parent_Aff_Mean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Mean(P_Aff1:P_Aff5)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Parent_Beh_Mean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Mean(P_Beh1:P_Beh5)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Parent_Identity_Overall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Mean(Cog, Aff, Beh)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</w:tbl>
    <w:bookmarkEnd w:id="33"/>
    <w:bookmarkStart w:id="34" w:name="child-identity-scores-子女认同分数"/>
    <w:p>
      <w:pPr>
        <w:pStyle w:val="Heading3"/>
      </w:pPr>
      <w:r>
        <w:t xml:space="preserve">4.3 Child Identity Scores / 子女认同分数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Child_Cog_Mean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Mean(C_Cog1:C_Cog6)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Child_Aff_Mean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Mean(C_Aff1:C_Aff5)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Child_Beh_Mean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Mean(C_Beh1:C_Beh5)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Child_Identity_Overall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Mean(Cog, Aff, Beh)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</w:tbl>
    <w:bookmarkEnd w:id="34"/>
    <w:bookmarkStart w:id="35" w:name="family-socialization-score-家庭社会化分数"/>
    <w:p>
      <w:pPr>
        <w:pStyle w:val="Heading3"/>
      </w:pPr>
      <w:r>
        <w:t xml:space="preserve">4.4 Family Socialization Score / 家庭社会化分数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Family_Socialization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Mean(FSI1:FSI4)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1.00-7.00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community-level-variables-社区层面变量"/>
    <w:p>
      <w:pPr>
        <w:pStyle w:val="Heading2"/>
      </w:pPr>
      <w:r>
        <w:t xml:space="preserve">5. Community-Level Variables / 社区层面变量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1"/>
        <w:gridCol w:w="2394"/>
        <w:gridCol w:w="1289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Comm_Cultural_Policy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cultural policy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Comm_Cultural_Facility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facility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Comm_Cultural_Activity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activity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mean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2" w:name="variable-transformations-变量转换"/>
    <w:p>
      <w:pPr>
        <w:pStyle w:val="Heading2"/>
      </w:pPr>
      <w:r>
        <w:t xml:space="preserve">6. Variable Transformations / 变量转换</w:t>
      </w:r>
    </w:p>
    <w:bookmarkStart w:id="38" w:name="standardization-z-scores-标准化"/>
    <w:p>
      <w:pPr>
        <w:pStyle w:val="Heading3"/>
      </w:pPr>
      <w:r>
        <w:t xml:space="preserve">6.1 Standardization (Z-scores) / 标准化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Enable comparison across variables with different scales</w:t>
      </w:r>
      <w:r>
        <w:t xml:space="preserve"> </w:t>
      </w:r>
      <w:r>
        <w:rPr>
          <w:bCs/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Variable_z = (Variable - Mean) / SD</w:t>
      </w:r>
    </w:p>
    <w:p>
      <w:pPr>
        <w:pStyle w:val="FirstParagraph"/>
      </w:pPr>
      <w:r>
        <w:rPr>
          <w:bCs/>
          <w:b/>
        </w:rPr>
        <w:t xml:space="preserve">Applied to:</w:t>
      </w:r>
      <w:r>
        <w:t xml:space="preserve"> </w:t>
      </w:r>
      <w:r>
        <w:t xml:space="preserve">- All identity scores (Parent and Child)</w:t>
      </w:r>
      <w:r>
        <w:t xml:space="preserve"> </w:t>
      </w:r>
      <w:r>
        <w:t xml:space="preserve">- Family Socialization</w:t>
      </w:r>
      <w:r>
        <w:t xml:space="preserve"> </w:t>
      </w:r>
      <w:r>
        <w:t xml:space="preserve">- Family SES</w:t>
      </w:r>
      <w:r>
        <w:t xml:space="preserve"> </w:t>
      </w:r>
      <w:r>
        <w:t xml:space="preserve">- Community-level variables</w:t>
      </w:r>
    </w:p>
    <w:bookmarkEnd w:id="38"/>
    <w:bookmarkStart w:id="39" w:name="mean-centering-均值中心化"/>
    <w:p>
      <w:pPr>
        <w:pStyle w:val="Heading3"/>
      </w:pPr>
      <w:r>
        <w:t xml:space="preserve">6.2 Mean-Centering / 均值中心化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Facilitate interpretation of interaction effects</w:t>
      </w:r>
      <w:r>
        <w:t xml:space="preserve"> </w:t>
      </w:r>
      <w:r>
        <w:rPr>
          <w:bCs/>
          <w:b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Variable_c = Variable - Grand_Mean</w:t>
      </w:r>
    </w:p>
    <w:p>
      <w:pPr>
        <w:pStyle w:val="FirstParagraph"/>
      </w:pPr>
      <w:r>
        <w:rPr>
          <w:bCs/>
          <w:b/>
        </w:rPr>
        <w:t xml:space="preserve">Applied to:</w:t>
      </w:r>
      <w:r>
        <w:t xml:space="preserve"> </w:t>
      </w:r>
      <w:r>
        <w:t xml:space="preserve">- Parent_Identity_c (for moderation analysis)</w:t>
      </w:r>
      <w:r>
        <w:t xml:space="preserve"> </w:t>
      </w:r>
      <w:r>
        <w:t xml:space="preserve">- Family_Socialization_c (for moderation analysis)</w:t>
      </w:r>
      <w:r>
        <w:t xml:space="preserve"> </w:t>
      </w:r>
      <w:r>
        <w:t xml:space="preserve">- All Level-2 predictors in multilevel models</w:t>
      </w:r>
    </w:p>
    <w:bookmarkEnd w:id="39"/>
    <w:bookmarkStart w:id="40" w:name="interaction-terms-交互项"/>
    <w:p>
      <w:pPr>
        <w:pStyle w:val="Heading3"/>
      </w:pPr>
      <w:r>
        <w:t xml:space="preserve">6.3 Interaction Terms / 交互项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Test moderation effects</w:t>
      </w:r>
      <w:r>
        <w:t xml:space="preserve"> </w:t>
      </w:r>
      <w:r>
        <w:rPr>
          <w:bCs/>
          <w:b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Parent_X_FSI = Parent_Identity_c × Family_Socialization_c</w:t>
      </w:r>
      <w:r>
        <w:br/>
      </w:r>
      <w:r>
        <w:rPr>
          <w:rStyle w:val="VerbatimChar"/>
        </w:rPr>
        <w:t xml:space="preserve">Urban_X_Parent = Urban_Rural × Parent_Identity_c</w:t>
      </w:r>
      <w:r>
        <w:br/>
      </w:r>
      <w:r>
        <w:rPr>
          <w:rStyle w:val="VerbatimChar"/>
        </w:rPr>
        <w:t xml:space="preserve">Urban_X_FSI = Urban_Rural × Family_Socialization_c</w:t>
      </w:r>
    </w:p>
    <w:bookmarkEnd w:id="40"/>
    <w:bookmarkStart w:id="41" w:name="derived-categorical-variables-派生分类变量"/>
    <w:p>
      <w:pPr>
        <w:pStyle w:val="Heading3"/>
      </w:pPr>
      <w:r>
        <w:t xml:space="preserve">6.4 Derived Categorical Variables / 派生分类变量</w:t>
      </w:r>
    </w:p>
    <w:p>
      <w:pPr>
        <w:pStyle w:val="FirstParagraph"/>
      </w:pPr>
      <w:r>
        <w:rPr>
          <w:bCs/>
          <w:b/>
        </w:rPr>
        <w:t xml:space="preserve">Age Groups / 年龄组:</w:t>
      </w:r>
      <w:r>
        <w:t xml:space="preserve"> </w:t>
      </w:r>
      <w:r>
        <w:t xml:space="preserve">| Group | Age Range | N |</w:t>
      </w:r>
      <w:r>
        <w:t xml:space="preserve"> </w:t>
      </w:r>
      <w:r>
        <w:t xml:space="preserve">|——-|———–|—|</w:t>
      </w:r>
      <w:r>
        <w:t xml:space="preserve"> </w:t>
      </w:r>
      <w:r>
        <w:t xml:space="preserve">| 12-15 | 12.0-15.9 | 948 |</w:t>
      </w:r>
      <w:r>
        <w:t xml:space="preserve"> </w:t>
      </w:r>
      <w:r>
        <w:t xml:space="preserve">| 16-18 | 16.0-18.9 | 1,076 |</w:t>
      </w:r>
      <w:r>
        <w:t xml:space="preserve"> </w:t>
      </w:r>
      <w:r>
        <w:t xml:space="preserve">| 19-22 | 19.0-22.9 | 623 |</w:t>
      </w:r>
      <w:r>
        <w:t xml:space="preserve"> </w:t>
      </w:r>
      <w:r>
        <w:t xml:space="preserve">| 23-25 | 23.0-25.9 | 200 |</w:t>
      </w:r>
    </w:p>
    <w:p>
      <w:pPr>
        <w:pStyle w:val="BodyText"/>
      </w:pPr>
      <w:r>
        <w:rPr>
          <w:bCs/>
          <w:b/>
        </w:rPr>
        <w:t xml:space="preserve">Gender Combinations / 性别组合:</w:t>
      </w:r>
      <w:r>
        <w:t xml:space="preserve"> </w:t>
      </w:r>
      <w:r>
        <w:t xml:space="preserve">| Combination | Parent | Child | N |</w:t>
      </w:r>
      <w:r>
        <w:t xml:space="preserve"> </w:t>
      </w:r>
      <w:r>
        <w:t xml:space="preserve">|————-|——–|——-|—|</w:t>
      </w:r>
      <w:r>
        <w:t xml:space="preserve"> </w:t>
      </w:r>
      <w:r>
        <w:t xml:space="preserve">| Mother-Daughter | Female | Female | 823 |</w:t>
      </w:r>
      <w:r>
        <w:t xml:space="preserve"> </w:t>
      </w:r>
      <w:r>
        <w:t xml:space="preserve">| Father-Daughter | Male | Female | 651 |</w:t>
      </w:r>
      <w:r>
        <w:t xml:space="preserve"> </w:t>
      </w:r>
      <w:r>
        <w:t xml:space="preserve">| Mother-Son | Female | Male | 819 |</w:t>
      </w:r>
      <w:r>
        <w:t xml:space="preserve"> </w:t>
      </w:r>
      <w:r>
        <w:t xml:space="preserve">| Father-Son | Male | Male | 554 |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issing-data-handling-缺失值处理"/>
    <w:p>
      <w:pPr>
        <w:pStyle w:val="Heading2"/>
      </w:pPr>
      <w:r>
        <w:t xml:space="preserve">7. Missing Data Handling / 缺失值处理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Item-level missing:</w:t>
      </w:r>
      <w:r>
        <w:t xml:space="preserve"> </w:t>
      </w:r>
      <w:r>
        <w:t xml:space="preserve">Items with &gt;5% missing excluded from analysis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Case-level missing:</w:t>
      </w:r>
      <w:r>
        <w:t xml:space="preserve"> </w:t>
      </w:r>
      <w:r>
        <w:t xml:space="preserve">Cases with &gt;20% missing items excluded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Imputation:</w:t>
      </w:r>
      <w:r>
        <w:t xml:space="preserve"> </w:t>
      </w:r>
      <w:r>
        <w:t xml:space="preserve">Not applied (complete case analysis)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Final sample:</w:t>
      </w:r>
      <w:r>
        <w:t xml:space="preserve"> </w:t>
      </w:r>
      <w:r>
        <w:t xml:space="preserve">N = 2,847 families (100% complete)</w:t>
      </w:r>
    </w:p>
    <w:p>
      <w:r>
        <w:pict>
          <v:rect style="width:0;height:1.5pt" o:hralign="center" o:hrstd="t" o:hr="t"/>
        </w:pict>
      </w:r>
    </w:p>
    <w:bookmarkEnd w:id="43"/>
    <w:bookmarkStart w:id="47" w:name="data-quality-checks-数据质量检查"/>
    <w:p>
      <w:pPr>
        <w:pStyle w:val="Heading2"/>
      </w:pPr>
      <w:r>
        <w:t xml:space="preserve">8. Data Quality Checks / 数据质量检查</w:t>
      </w:r>
    </w:p>
    <w:bookmarkStart w:id="44" w:name="range-checks-范围检查"/>
    <w:p>
      <w:pPr>
        <w:pStyle w:val="Heading3"/>
      </w:pPr>
      <w:r>
        <w:t xml:space="preserve">8.1 Range Checks / 范围检查</w:t>
      </w:r>
    </w:p>
    <w:p>
      <w:pPr>
        <w:numPr>
          <w:ilvl w:val="0"/>
          <w:numId w:val="1002"/>
        </w:numPr>
        <w:pStyle w:val="Compact"/>
      </w:pPr>
      <w:r>
        <w:t xml:space="preserve">All Likert items: 1-7</w:t>
      </w:r>
    </w:p>
    <w:p>
      <w:pPr>
        <w:numPr>
          <w:ilvl w:val="0"/>
          <w:numId w:val="1002"/>
        </w:numPr>
        <w:pStyle w:val="Compact"/>
      </w:pPr>
      <w:r>
        <w:t xml:space="preserve">Age: Parent 35-68, Child 12-26</w:t>
      </w:r>
    </w:p>
    <w:p>
      <w:pPr>
        <w:numPr>
          <w:ilvl w:val="0"/>
          <w:numId w:val="1002"/>
        </w:numPr>
        <w:pStyle w:val="Compact"/>
      </w:pPr>
      <w:r>
        <w:t xml:space="preserve">Education: 1-6</w:t>
      </w:r>
    </w:p>
    <w:bookmarkEnd w:id="44"/>
    <w:bookmarkStart w:id="45" w:name="consistency-checks-一致性检查"/>
    <w:p>
      <w:pPr>
        <w:pStyle w:val="Heading3"/>
      </w:pPr>
      <w:r>
        <w:t xml:space="preserve">8.2 Consistency Checks / 一致性检查</w:t>
      </w:r>
    </w:p>
    <w:p>
      <w:pPr>
        <w:numPr>
          <w:ilvl w:val="0"/>
          <w:numId w:val="1003"/>
        </w:numPr>
        <w:pStyle w:val="Compact"/>
      </w:pPr>
      <w:r>
        <w:t xml:space="preserve">Parent age &gt; Child age + 15</w:t>
      </w:r>
    </w:p>
    <w:p>
      <w:pPr>
        <w:numPr>
          <w:ilvl w:val="0"/>
          <w:numId w:val="1003"/>
        </w:numPr>
        <w:pStyle w:val="Compact"/>
      </w:pPr>
      <w:r>
        <w:t xml:space="preserve">Family residence ≥ 3 years</w:t>
      </w:r>
    </w:p>
    <w:bookmarkEnd w:id="45"/>
    <w:bookmarkStart w:id="46" w:name="response-pattern-checks-作答模式检查"/>
    <w:p>
      <w:pPr>
        <w:pStyle w:val="Heading3"/>
      </w:pPr>
      <w:r>
        <w:t xml:space="preserve">8.3 Response Pattern Checks / 作答模式检查</w:t>
      </w:r>
    </w:p>
    <w:p>
      <w:pPr>
        <w:numPr>
          <w:ilvl w:val="0"/>
          <w:numId w:val="1004"/>
        </w:numPr>
        <w:pStyle w:val="Compact"/>
      </w:pPr>
      <w:r>
        <w:t xml:space="preserve">Straight-lining detection</w:t>
      </w:r>
    </w:p>
    <w:p>
      <w:pPr>
        <w:numPr>
          <w:ilvl w:val="0"/>
          <w:numId w:val="1004"/>
        </w:numPr>
        <w:pStyle w:val="Compact"/>
      </w:pPr>
      <w:r>
        <w:t xml:space="preserve">Random responding detection (via attention checks)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November 2024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2025-12-27T18:24:01Z</dcterms:created>
  <dcterms:modified xsi:type="dcterms:W3CDTF">2025-12-27T18:24:01Z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