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36"/>
          <w:szCs w:val="36"/>
        </w:rPr>
        <w:t xml:space="preserve">Risk Register and Key Risk Indicator Analysis</w:t>
      </w:r>
    </w:p>
    <w:p>
      <w:pPr>
        <w:spacing w:after="100"/>
        <w:jc w:val="center"/>
      </w:pPr>
      <w:r>
        <w:rPr>
          <w:rFonts w:ascii="Arial" w:cs="Arial" w:eastAsia="Arial" w:hAnsi="Arial"/>
          <w:color w:val="555555"/>
          <w:sz w:val="26"/>
          <w:szCs w:val="26"/>
        </w:rPr>
        <w:t xml:space="preserve">Microsoft Corporation: Cybersecurity Platform Acquisition</w:t>
      </w:r>
    </w:p>
    <w:p>
      <w:pPr>
        <w:spacing w:after="60"/>
        <w:jc w:val="center"/>
      </w:pPr>
      <w:r>
        <w:rPr>
          <w:rFonts w:ascii="Arial" w:cs="Arial" w:eastAsia="Arial" w:hAnsi="Arial"/>
          <w:color w:val="666666"/>
          <w:sz w:val="22"/>
          <w:szCs w:val="22"/>
        </w:rPr>
        <w:t xml:space="preserve">Competitive Risk Identification and ERM Analysis</w:t>
      </w:r>
    </w:p>
    <w:p>
      <w:pPr>
        <w:spacing w:after="600"/>
      </w:pPr>
    </w:p>
    <w:p>
      <w:pPr>
        <w:spacing w:after="60"/>
        <w:jc w:val="center"/>
      </w:pPr>
      <w:r>
        <w:rPr>
          <w:rFonts w:ascii="Arial" w:cs="Arial" w:eastAsia="Arial" w:hAnsi="Arial"/>
          <w:color w:val="555555"/>
          <w:sz w:val="22"/>
          <w:szCs w:val="22"/>
        </w:rPr>
        <w:t xml:space="preserve">Enterprise Risk Management</w:t>
      </w:r>
    </w:p>
    <w:p>
      <w:pPr>
        <w:spacing w:after="60"/>
        <w:jc w:val="center"/>
      </w:pPr>
      <w:r>
        <w:rPr>
          <w:rFonts w:ascii="Arial" w:cs="Arial" w:eastAsia="Arial" w:hAnsi="Arial"/>
          <w:color w:val="555555"/>
          <w:sz w:val="22"/>
          <w:szCs w:val="22"/>
        </w:rPr>
        <w:t xml:space="preserve">March 2026</w:t>
      </w:r>
    </w:p>
    <w:p>
      <w:r>
        <w:br w:type="page"/>
      </w:r>
    </w:p>
    <w:p>
      <w:pPr>
        <w:pStyle w:val="Heading1"/>
      </w:pPr>
      <w:r>
        <w:t xml:space="preserve">Overview and Rationale</w:t>
      </w:r>
    </w:p>
    <w:p>
      <w:pPr>
        <w:spacing w:after="120" w:before="0" w:line="240"/>
        <w:jc w:val="both"/>
      </w:pPr>
      <w:r>
        <w:rPr>
          <w:rFonts w:ascii="Arial" w:cs="Arial" w:eastAsia="Arial" w:hAnsi="Arial"/>
          <w:color w:val="333333"/>
          <w:sz w:val="22"/>
          <w:szCs w:val="22"/>
        </w:rPr>
        <w:t xml:space="preserve">This report presents a risk register and Key Risk Indicator (KRI) analysis for Microsoft Corporation as it pursues the acquisition of a mid-sized cybersecurity-as-a-service (CaaS) company. Building upon the S.W.O.T. analysis completed in the prior module, this analysis identifies three competitive risks—two negative and one positive—that Microsoft faces as it enters a specialized market segment it has not yet fully experienced. According to Hopkin (2018), risk identification is the foundational step in the Enterprise Risk Management (ERM) process, and the use of structured risk statements ensures that each risk is clearly articulated in terms of its cause, event, and consequence.</w:t>
      </w:r>
    </w:p>
    <w:p>
      <w:pPr>
        <w:spacing w:after="120" w:before="0" w:line="240"/>
        <w:jc w:val="both"/>
      </w:pPr>
      <w:r>
        <w:rPr>
          <w:rFonts w:ascii="Arial" w:cs="Arial" w:eastAsia="Arial" w:hAnsi="Arial"/>
          <w:color w:val="333333"/>
          <w:sz w:val="22"/>
          <w:szCs w:val="22"/>
        </w:rPr>
        <w:t xml:space="preserve">The COSO (2017) ERM framework emphasizes that organizations must evaluate risks not only in terms of potential losses but also in terms of upside opportunities that could be exploited for strategic advantage. Fraser and Simkins (2016) further argue that competitive risk analysis is essential during acquisitions because the acquiring firm is simultaneously navigating integration challenges and repositioning itself within a new competitive landscape. This report follows the risk statement format of “The risk of… caused by… resulting in…” as recommended by Hillson (2009), and each risk is accompanied by a problem statement, KRI metric, and threshold system aligned with COSO’s guidance on Key Risk Indicators.</w:t>
      </w:r>
    </w:p>
    <w:p>
      <w:pPr>
        <w:pStyle w:val="Heading1"/>
      </w:pPr>
      <w:r>
        <w:t xml:space="preserve">Risk 1 (Negative): Loss of Cybersecurity Market Share to Specialized Competitors</w:t>
      </w:r>
    </w:p>
    <w:p>
      <w:pPr>
        <w:pStyle w:val="Heading2"/>
      </w:pPr>
      <w:r>
        <w:t xml:space="preserve">Risk Statement</w:t>
      </w:r>
    </w:p>
    <w:p>
      <w:pPr>
        <w:spacing w:after="120" w:before="0" w:line="240"/>
        <w:jc w:val="both"/>
      </w:pPr>
      <w:r>
        <w:rPr>
          <w:rFonts w:ascii="Arial" w:cs="Arial" w:eastAsia="Arial" w:hAnsi="Arial"/>
          <w:i/>
          <w:iCs/>
          <w:color w:val="333333"/>
          <w:sz w:val="22"/>
          <w:szCs w:val="22"/>
        </w:rPr>
        <w:t xml:space="preserve">The risk of </w:t>
      </w:r>
      <w:r>
        <w:rPr>
          <w:rFonts w:ascii="Arial" w:cs="Arial" w:eastAsia="Arial" w:hAnsi="Arial"/>
          <w:b/>
          <w:bCs/>
          <w:i/>
          <w:iCs/>
          <w:color w:val="333333"/>
          <w:sz w:val="22"/>
          <w:szCs w:val="22"/>
        </w:rPr>
        <w:t xml:space="preserve">losing cybersecurity market share to specialized competitors, </w:t>
      </w:r>
      <w:r>
        <w:rPr>
          <w:rFonts w:ascii="Arial" w:cs="Arial" w:eastAsia="Arial" w:hAnsi="Arial"/>
          <w:i/>
          <w:iCs/>
          <w:color w:val="333333"/>
          <w:sz w:val="22"/>
          <w:szCs w:val="22"/>
        </w:rPr>
        <w:t xml:space="preserve">caused by </w:t>
      </w:r>
      <w:r>
        <w:rPr>
          <w:rFonts w:ascii="Arial" w:cs="Arial" w:eastAsia="Arial" w:hAnsi="Arial"/>
          <w:i/>
          <w:iCs/>
          <w:color w:val="333333"/>
          <w:sz w:val="22"/>
          <w:szCs w:val="22"/>
        </w:rPr>
        <w:t xml:space="preserve">entering the dedicated cybersecurity market where agile, focused competitors such as CrowdStrike and Palo Alto Networks have established brand loyalty, deeper domain expertise, and faster product release cycles, </w:t>
      </w:r>
      <w:r>
        <w:rPr>
          <w:rFonts w:ascii="Arial" w:cs="Arial" w:eastAsia="Arial" w:hAnsi="Arial"/>
          <w:i/>
          <w:iCs/>
          <w:color w:val="333333"/>
          <w:sz w:val="22"/>
          <w:szCs w:val="22"/>
        </w:rPr>
        <w:t xml:space="preserve">resulting in </w:t>
      </w:r>
      <w:r>
        <w:rPr>
          <w:rFonts w:ascii="Arial" w:cs="Arial" w:eastAsia="Arial" w:hAnsi="Arial"/>
          <w:i/>
          <w:iCs/>
          <w:color w:val="333333"/>
          <w:sz w:val="22"/>
          <w:szCs w:val="22"/>
        </w:rPr>
        <w:t xml:space="preserve">failure to achieve projected acquisition synergies, reduced return on investment, customer attrition to competitors offering more specialized solutions, and diminished credibility as a cybersecurity provider.</w:t>
      </w:r>
    </w:p>
    <w:p>
      <w:pPr>
        <w:pStyle w:val="Heading2"/>
      </w:pPr>
      <w:r>
        <w:t xml:space="preserve">Problem Statement</w:t>
      </w:r>
    </w:p>
    <w:p>
      <w:pPr>
        <w:spacing w:after="120" w:before="0" w:line="240"/>
        <w:jc w:val="both"/>
      </w:pPr>
      <w:r>
        <w:rPr>
          <w:rFonts w:ascii="Arial" w:cs="Arial" w:eastAsia="Arial" w:hAnsi="Arial"/>
          <w:color w:val="333333"/>
          <w:sz w:val="22"/>
          <w:szCs w:val="22"/>
        </w:rPr>
        <w:t xml:space="preserve">CrowdStrike and Palo Alto Networks are aggressively expanding their enterprise cybersecurity market share, with both companies reporting annual revenue growth rates exceeding 25% (Bromiley et al., 2015). These specialized competitors have built deep domain expertise and customer loyalty that Microsoft has not yet had to contend with directly. As Microsoft enters this market through acquisition, it faces the immediate challenge of establishing credibility against incumbents whose entire business model is dedicated to cybersecurity innovation. This competitive pressure requires monitoring now because the first 12 to 18 months post-acquisition represent a critical window during which enterprise customers will evaluate whether Microsoft’s offering is a viable alternative to established specialists (Fraser &amp; Simkins, 2016).</w:t>
      </w:r>
    </w:p>
    <w:p>
      <w:pPr>
        <w:pStyle w:val="Heading2"/>
      </w:pPr>
      <w:r>
        <w:t xml:space="preserve">Impact Assessment</w:t>
      </w:r>
    </w:p>
    <w:p>
      <w:pPr>
        <w:spacing w:after="120" w:before="0" w:line="240"/>
        <w:jc w:val="both"/>
      </w:pPr>
      <w:r>
        <w:rPr>
          <w:rFonts w:ascii="Arial" w:cs="Arial" w:eastAsia="Arial" w:hAnsi="Arial"/>
          <w:color w:val="333333"/>
          <w:sz w:val="22"/>
          <w:szCs w:val="22"/>
        </w:rPr>
        <w:t xml:space="preserve">This risk carries both financial and strategic impact dimensions. Financially, failure to win competitive deals would directly reduce the projected revenue contribution of the acquisition, potentially resulting in write-downs of goodwill and acquired intangible assets (Hopkin, 2018). Strategically, a pattern of competitive losses would signal to the broader market that Microsoft’s cybersecurity capabilities are insufficient, undermining the company’s positioning across its entire security portfolio. The likelihood score is assessed at 4 (Likely) and the impact score at 4 (Major), producing a risk score of 16, which places this risk in the High priority category on the risk calculation matrix.</w:t>
      </w:r>
    </w:p>
    <w:p>
      <w:pPr>
        <w:pStyle w:val="Heading2"/>
      </w:pPr>
      <w:r>
        <w:t xml:space="preserve">Key Risk Indicator</w:t>
      </w:r>
    </w:p>
    <w:p>
      <w:pPr>
        <w:spacing w:after="120" w:before="0" w:line="240"/>
        <w:jc w:val="both"/>
      </w:pPr>
      <w:r>
        <w:rPr>
          <w:rFonts w:ascii="Arial" w:cs="Arial" w:eastAsia="Arial" w:hAnsi="Arial"/>
          <w:b/>
          <w:bCs/>
          <w:color w:val="333333"/>
          <w:sz w:val="22"/>
          <w:szCs w:val="22"/>
        </w:rPr>
        <w:t xml:space="preserve">KRI Metric (Leading Indicator): </w:t>
      </w:r>
      <w:r>
        <w:rPr>
          <w:rFonts w:ascii="Arial" w:cs="Arial" w:eastAsia="Arial" w:hAnsi="Arial"/>
          <w:color w:val="333333"/>
          <w:sz w:val="22"/>
          <w:szCs w:val="22"/>
        </w:rPr>
        <w:t xml:space="preserve">Monthly Competitive Win/Loss Rate, defined as the percentage of contested enterprise cybersecurity deals won versus lost against CrowdStrike, Palo Alto Networks, and Fortinet. This is a leading indicator because declining win rates signal erosion in competitive positioning before it manifests in aggregate revenue figures, which are lagging indicators (COSO, 2017).</w:t>
      </w:r>
    </w:p>
    <w:p>
      <w:pPr>
        <w:spacing w:after="120" w:before="0" w:line="240"/>
        <w:jc w:val="both"/>
      </w:pPr>
      <w:r>
        <w:rPr>
          <w:rFonts w:ascii="Arial" w:cs="Arial" w:eastAsia="Arial" w:hAnsi="Arial"/>
          <w:b/>
          <w:bCs/>
          <w:color w:val="333333"/>
          <w:sz w:val="22"/>
          <w:szCs w:val="22"/>
        </w:rPr>
        <w:t xml:space="preserve">Data Source: </w:t>
      </w:r>
      <w:r>
        <w:rPr>
          <w:rFonts w:ascii="Arial" w:cs="Arial" w:eastAsia="Arial" w:hAnsi="Arial"/>
          <w:color w:val="333333"/>
          <w:sz w:val="22"/>
          <w:szCs w:val="22"/>
        </w:rPr>
        <w:t xml:space="preserve">CRM pipeline data from Salesforce or Dynamics 365, competitive intelligence reports, and quarterly win/loss analysis conducted by Sales Operations.</w:t>
      </w:r>
    </w:p>
    <w:p>
      <w:pPr>
        <w:pStyle w:val="Heading2"/>
      </w:pPr>
      <w:r>
        <w:t xml:space="preserve">KRI Threshold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Escalation Action</w:t>
            </w:r>
          </w:p>
        </w:tc>
      </w:tr>
      <w:tr>
        <w:tc>
          <w:tcPr>
            <w:tcW w:type="dxa" w:w="180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Green</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Competitive win rate remains above 45% of contested enterprise deals.</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Continue standard competitive monitoring; no escalation required.</w:t>
            </w:r>
          </w:p>
        </w:tc>
      </w:tr>
      <w:tr>
        <w:tc>
          <w:tcPr>
            <w:tcW w:type="dxa" w:w="18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Amber</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Competitive win rate drops to 35%–45% of contested deals.</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CSO convenes competitive response task force; conduct customer exit interviews; review pricing and positioning strategy.</w:t>
            </w:r>
          </w:p>
        </w:tc>
      </w:tr>
      <w:tr>
        <w:tc>
          <w:tcPr>
            <w:tcW w:type="dxa" w:w="180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Red</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Competitive win rate falls below 35% of contested deals.</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Executive leadership reviews integration strategy; consider accelerated product differentiation investments; evaluate strategic partnerships.</w:t>
            </w:r>
          </w:p>
        </w:tc>
      </w:tr>
    </w:tbl>
    <w:p>
      <w:pPr>
        <w:spacing w:after="120" w:before="200" w:line="240"/>
        <w:jc w:val="both"/>
      </w:pPr>
      <w:r>
        <w:rPr>
          <w:rFonts w:ascii="Arial" w:cs="Arial" w:eastAsia="Arial" w:hAnsi="Arial"/>
          <w:i w:val="false"/>
          <w:iCs w:val="false"/>
          <w:color w:val="333333"/>
          <w:sz w:val="22"/>
          <w:szCs w:val="22"/>
        </w:rPr>
        <w:t xml:space="preserve">This KRI was developed following the COSO (2017) framework by first identifying the specific risk event, then selecting a metric with demonstrated predictive validity. Win/loss rate data is available in real-time from CRM systems and can be segmented by competitor, deal size, and industry vertical, enabling granular analysis. The thresholds reflect Microsoft’s risk appetite for market entry: a 45% win rate is considered the minimum viable threshold for establishing competitive credibility, while a rate below 35% would indicate systemic competitive disadvantage requiring strategic intervention (Hillson, 2009).</w:t>
      </w:r>
    </w:p>
    <w:p>
      <w:r>
        <w:br w:type="page"/>
      </w:r>
    </w:p>
    <w:p>
      <w:pPr>
        <w:pStyle w:val="Heading1"/>
      </w:pPr>
      <w:r>
        <w:t xml:space="preserve">Risk 2 (Negative): Critical Data Breach During Platform Integration</w:t>
      </w:r>
    </w:p>
    <w:p>
      <w:pPr>
        <w:pStyle w:val="Heading2"/>
      </w:pPr>
      <w:r>
        <w:t xml:space="preserve">Risk Statement</w:t>
      </w:r>
    </w:p>
    <w:p>
      <w:pPr>
        <w:spacing w:after="120" w:before="0" w:line="240"/>
        <w:jc w:val="both"/>
      </w:pPr>
      <w:r>
        <w:rPr>
          <w:rFonts w:ascii="Arial" w:cs="Arial" w:eastAsia="Arial" w:hAnsi="Arial"/>
          <w:i/>
          <w:iCs/>
          <w:color w:val="333333"/>
          <w:sz w:val="22"/>
          <w:szCs w:val="22"/>
        </w:rPr>
        <w:t xml:space="preserve">The risk of </w:t>
      </w:r>
      <w:r>
        <w:rPr>
          <w:rFonts w:ascii="Arial" w:cs="Arial" w:eastAsia="Arial" w:hAnsi="Arial"/>
          <w:b/>
          <w:bCs/>
          <w:i/>
          <w:iCs/>
          <w:color w:val="333333"/>
          <w:sz w:val="22"/>
          <w:szCs w:val="22"/>
        </w:rPr>
        <w:t xml:space="preserve">a critical data breach or security incident during platform integration, </w:t>
      </w:r>
      <w:r>
        <w:rPr>
          <w:rFonts w:ascii="Arial" w:cs="Arial" w:eastAsia="Arial" w:hAnsi="Arial"/>
          <w:i/>
          <w:iCs/>
          <w:color w:val="333333"/>
          <w:sz w:val="22"/>
          <w:szCs w:val="22"/>
        </w:rPr>
        <w:t xml:space="preserve">caused by </w:t>
      </w:r>
      <w:r>
        <w:rPr>
          <w:rFonts w:ascii="Arial" w:cs="Arial" w:eastAsia="Arial" w:hAnsi="Arial"/>
          <w:i/>
          <w:iCs/>
          <w:color w:val="333333"/>
          <w:sz w:val="22"/>
          <w:szCs w:val="22"/>
        </w:rPr>
        <w:t xml:space="preserve">merging disparate technology architectures and security frameworks that create temporary vulnerabilities, expanded attack surfaces, and potential misconfigurations in access controls during the transition period, </w:t>
      </w:r>
      <w:r>
        <w:rPr>
          <w:rFonts w:ascii="Arial" w:cs="Arial" w:eastAsia="Arial" w:hAnsi="Arial"/>
          <w:i/>
          <w:iCs/>
          <w:color w:val="333333"/>
          <w:sz w:val="22"/>
          <w:szCs w:val="22"/>
        </w:rPr>
        <w:t xml:space="preserve">resulting in </w:t>
      </w:r>
      <w:r>
        <w:rPr>
          <w:rFonts w:ascii="Arial" w:cs="Arial" w:eastAsia="Arial" w:hAnsi="Arial"/>
          <w:i/>
          <w:iCs/>
          <w:color w:val="333333"/>
          <w:sz w:val="22"/>
          <w:szCs w:val="22"/>
        </w:rPr>
        <w:t xml:space="preserve">exposure of sensitive threat intelligence data or customer information, regulatory penalties under GDPR and CCPA, loss of customer trust, class-action litigation, and reputational damage that undermines the core value proposition of the cybersecurity acquisition.</w:t>
      </w:r>
    </w:p>
    <w:p>
      <w:pPr>
        <w:pStyle w:val="Heading2"/>
      </w:pPr>
      <w:r>
        <w:t xml:space="preserve">Problem Statement</w:t>
      </w:r>
    </w:p>
    <w:p>
      <w:pPr>
        <w:spacing w:after="120" w:before="0" w:line="240"/>
        <w:jc w:val="both"/>
      </w:pPr>
      <w:r>
        <w:rPr>
          <w:rFonts w:ascii="Arial" w:cs="Arial" w:eastAsia="Arial" w:hAnsi="Arial"/>
          <w:color w:val="333333"/>
          <w:sz w:val="22"/>
          <w:szCs w:val="22"/>
        </w:rPr>
        <w:t xml:space="preserve">The integration of the acquired cybersecurity platform into Microsoft’s Azure ecosystem requires merging two fundamentally different technology architectures over a 12 to 18 month transition window. During this period, the combined system presents an expanded attack surface with potential misconfigurations in identity management, API gateways, and data routing protocols (COSO, 2017). Nation-state actors and advanced persistent threats (APTs) actively target organizations undergoing major technology transitions because security controls are often temporarily relaxed or inconsistently applied (Hopkin, 2018). This risk requires immediate monitoring because any breach of a cybersecurity company’s own infrastructure would be catastrophically damaging to customer confidence and market credibility.</w:t>
      </w:r>
    </w:p>
    <w:p>
      <w:pPr>
        <w:pStyle w:val="Heading2"/>
      </w:pPr>
      <w:r>
        <w:t xml:space="preserve">Impact Assessment</w:t>
      </w:r>
    </w:p>
    <w:p>
      <w:pPr>
        <w:spacing w:after="120" w:before="0" w:line="240"/>
        <w:jc w:val="both"/>
      </w:pPr>
      <w:r>
        <w:rPr>
          <w:rFonts w:ascii="Arial" w:cs="Arial" w:eastAsia="Arial" w:hAnsi="Arial"/>
          <w:color w:val="333333"/>
          <w:sz w:val="22"/>
          <w:szCs w:val="22"/>
        </w:rPr>
        <w:t xml:space="preserve">This risk carries technology, information security, and legal impact dimensions. A breach during integration could expose proprietary threat intelligence algorithms, customer security configurations, and personally identifiable information. Regulatory penalties under GDPR alone could reach up to 4% of annual global turnover (Bromiley et al., 2015). Beyond direct financial losses, the reputational impact of a cybersecurity company suffering a breach would fundamentally undermine the acquisition’s strategic rationale. The likelihood score is assessed at 3 (Possible) and the impact score at 5 (Catastrophic), producing a risk score of 15, which places this risk in the High priority category.</w:t>
      </w:r>
    </w:p>
    <w:p>
      <w:pPr>
        <w:pStyle w:val="Heading2"/>
      </w:pPr>
      <w:r>
        <w:t xml:space="preserve">Key Risk Indicator</w:t>
      </w:r>
    </w:p>
    <w:p>
      <w:pPr>
        <w:spacing w:after="120" w:before="0" w:line="240"/>
        <w:jc w:val="both"/>
      </w:pPr>
      <w:r>
        <w:rPr>
          <w:rFonts w:ascii="Arial" w:cs="Arial" w:eastAsia="Arial" w:hAnsi="Arial"/>
          <w:b/>
          <w:bCs/>
          <w:color w:val="333333"/>
          <w:sz w:val="22"/>
          <w:szCs w:val="22"/>
        </w:rPr>
        <w:t xml:space="preserve">KRI Metric (Leading Indicator): </w:t>
      </w:r>
      <w:r>
        <w:rPr>
          <w:rFonts w:ascii="Arial" w:cs="Arial" w:eastAsia="Arial" w:hAnsi="Arial"/>
          <w:color w:val="333333"/>
          <w:sz w:val="22"/>
          <w:szCs w:val="22"/>
        </w:rPr>
        <w:t xml:space="preserve">Integration Vulnerability Index, defined as the weighted count of unresolved critical and high-severity vulnerabilities detected across integration touchpoints per reporting period. This is a leading indicator because accumulating unresolved vulnerabilities predict future exploitation events, whereas breach incident counts are lagging indicators (Fraser &amp; Simkins, 2016).</w:t>
      </w:r>
    </w:p>
    <w:p>
      <w:pPr>
        <w:spacing w:after="120" w:before="0" w:line="240"/>
        <w:jc w:val="both"/>
      </w:pPr>
      <w:r>
        <w:rPr>
          <w:rFonts w:ascii="Arial" w:cs="Arial" w:eastAsia="Arial" w:hAnsi="Arial"/>
          <w:b/>
          <w:bCs/>
          <w:color w:val="333333"/>
          <w:sz w:val="22"/>
          <w:szCs w:val="22"/>
        </w:rPr>
        <w:t xml:space="preserve">Data Source: </w:t>
      </w:r>
      <w:r>
        <w:rPr>
          <w:rFonts w:ascii="Arial" w:cs="Arial" w:eastAsia="Arial" w:hAnsi="Arial"/>
          <w:color w:val="333333"/>
          <w:sz w:val="22"/>
          <w:szCs w:val="22"/>
        </w:rPr>
        <w:t xml:space="preserve">Vulnerability scanning tools (Microsoft Defender for Cloud, Qualys), penetration test results, and SIEM alert data from the Security Operations Center.</w:t>
      </w:r>
    </w:p>
    <w:p>
      <w:pPr>
        <w:pStyle w:val="Heading2"/>
      </w:pPr>
      <w:r>
        <w:t xml:space="preserve">KRI Threshold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Escalation Action</w:t>
            </w:r>
          </w:p>
        </w:tc>
      </w:tr>
      <w:tr>
        <w:tc>
          <w:tcPr>
            <w:tcW w:type="dxa" w:w="180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Green</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Fewer than 5 unresolved critical/high vulnerabilities across integration touchpoints.</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Continue standard security monitoring and scheduled patching cycles.</w:t>
            </w:r>
          </w:p>
        </w:tc>
      </w:tr>
      <w:tr>
        <w:tc>
          <w:tcPr>
            <w:tcW w:type="dxa" w:w="18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Amber</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5–15 unresolved critical/high vulnerabilities, or any single critical vulnerability unresolved beyond 7 days.</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CISO escalates to integration risk committee; deploy additional security engineering resources; conduct targeted remediation sprints.</w:t>
            </w:r>
          </w:p>
        </w:tc>
      </w:tr>
      <w:tr>
        <w:tc>
          <w:tcPr>
            <w:tcW w:type="dxa" w:w="180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Red</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More than 15 unresolved critical/high vulnerabilities, or any exploited vulnerability detected.</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CISO invokes incident response protocol; pause non-critical integration activities; engage third-party forensic auditors; notify board risk committee.</w:t>
            </w:r>
          </w:p>
        </w:tc>
      </w:tr>
    </w:tbl>
    <w:p>
      <w:pPr>
        <w:spacing w:after="120" w:before="200" w:line="240"/>
        <w:jc w:val="both"/>
      </w:pPr>
      <w:r>
        <w:rPr>
          <w:rFonts w:ascii="Arial" w:cs="Arial" w:eastAsia="Arial" w:hAnsi="Arial"/>
          <w:color w:val="333333"/>
          <w:sz w:val="22"/>
          <w:szCs w:val="22"/>
        </w:rPr>
        <w:t xml:space="preserve">This KRI was developed by mapping the identified risk to a metric that captures the accumulation of exploitable conditions before a breach actually occurs. The COSO (2017) framework recommends that KRIs for technology risks be measured frequently during periods of elevated exposure. Accordingly, this indicator is measured weekly during active integration phases and monthly during steady-state operations. The threshold of 5 unresolved vulnerabilities as the green ceiling reflects Microsoft’s low risk appetite for security incidents in a cybersecurity-branded business unit (Hopkin, 2018).</w:t>
      </w:r>
    </w:p>
    <w:p>
      <w:r>
        <w:br w:type="page"/>
      </w:r>
    </w:p>
    <w:p>
      <w:pPr>
        <w:pStyle w:val="Heading1"/>
      </w:pPr>
      <w:r>
        <w:t xml:space="preserve">Risk 3 (Positive): Accelerated Enterprise Customer Acquisition Through Bundled Security Offerings</w:t>
      </w:r>
    </w:p>
    <w:p>
      <w:pPr>
        <w:pStyle w:val="Heading2"/>
      </w:pPr>
      <w:r>
        <w:t xml:space="preserve">Risk Statement</w:t>
      </w:r>
    </w:p>
    <w:p>
      <w:pPr>
        <w:spacing w:after="120" w:before="0" w:line="240"/>
        <w:jc w:val="both"/>
      </w:pPr>
      <w:r>
        <w:rPr>
          <w:rFonts w:ascii="Arial" w:cs="Arial" w:eastAsia="Arial" w:hAnsi="Arial"/>
          <w:i/>
          <w:iCs/>
          <w:color w:val="333333"/>
          <w:sz w:val="22"/>
          <w:szCs w:val="22"/>
        </w:rPr>
        <w:t xml:space="preserve">The risk (opportunity) of </w:t>
      </w:r>
      <w:r>
        <w:rPr>
          <w:rFonts w:ascii="Arial" w:cs="Arial" w:eastAsia="Arial" w:hAnsi="Arial"/>
          <w:b/>
          <w:bCs/>
          <w:i/>
          <w:iCs/>
          <w:color w:val="333333"/>
          <w:sz w:val="22"/>
          <w:szCs w:val="22"/>
        </w:rPr>
        <w:t xml:space="preserve">accelerated enterprise customer acquisition through bundled security-compliance offerings, </w:t>
      </w:r>
      <w:r>
        <w:rPr>
          <w:rFonts w:ascii="Arial" w:cs="Arial" w:eastAsia="Arial" w:hAnsi="Arial"/>
          <w:i/>
          <w:iCs/>
          <w:color w:val="333333"/>
          <w:sz w:val="22"/>
          <w:szCs w:val="22"/>
        </w:rPr>
        <w:t xml:space="preserve">caused by </w:t>
      </w:r>
      <w:r>
        <w:rPr>
          <w:rFonts w:ascii="Arial" w:cs="Arial" w:eastAsia="Arial" w:hAnsi="Arial"/>
          <w:i/>
          <w:iCs/>
          <w:color w:val="333333"/>
          <w:sz w:val="22"/>
          <w:szCs w:val="22"/>
        </w:rPr>
        <w:t xml:space="preserve">growing regulatory pressure under GDPR, CCPA, and emerging AI governance frameworks that is compelling enterprises to seek unified compliance-security platforms, combined with the fact that no single competitor currently offers an integrated solution at Microsoft’s scale, </w:t>
      </w:r>
      <w:r>
        <w:rPr>
          <w:rFonts w:ascii="Arial" w:cs="Arial" w:eastAsia="Arial" w:hAnsi="Arial"/>
          <w:i/>
          <w:iCs/>
          <w:color w:val="333333"/>
          <w:sz w:val="22"/>
          <w:szCs w:val="22"/>
        </w:rPr>
        <w:t xml:space="preserve">resulting in </w:t>
      </w:r>
      <w:r>
        <w:rPr>
          <w:rFonts w:ascii="Arial" w:cs="Arial" w:eastAsia="Arial" w:hAnsi="Arial"/>
          <w:i/>
          <w:iCs/>
          <w:color w:val="333333"/>
          <w:sz w:val="22"/>
          <w:szCs w:val="22"/>
        </w:rPr>
        <w:t xml:space="preserve">capturing market share from competitors who offer point solutions, increasing average revenue per enterprise customer, establishing Microsoft as the de facto standard for enterprise security compliance, and creating significant switching costs that strengthen long-term customer retention.</w:t>
      </w:r>
    </w:p>
    <w:p>
      <w:pPr>
        <w:pStyle w:val="Heading2"/>
      </w:pPr>
      <w:r>
        <w:t xml:space="preserve">Problem Statement</w:t>
      </w:r>
    </w:p>
    <w:p>
      <w:pPr>
        <w:spacing w:after="120" w:before="0" w:line="240"/>
        <w:jc w:val="both"/>
      </w:pPr>
      <w:r>
        <w:rPr>
          <w:rFonts w:ascii="Arial" w:cs="Arial" w:eastAsia="Arial" w:hAnsi="Arial"/>
          <w:color w:val="333333"/>
          <w:sz w:val="22"/>
          <w:szCs w:val="22"/>
        </w:rPr>
        <w:t xml:space="preserve">Regulatory mandates across multiple jurisdictions are compelling enterprises to invest in comprehensive compliance-security solutions. The proliferation of data privacy laws, cybersecurity disclosure requirements, and AI governance standards has created a market gap: enterprises need integrated platforms that address security and compliance simultaneously, but current market offerings are fragmented across specialized vendors (Bromiley et al., 2015). Microsoft’s post-acquisition combination of Azure cloud infrastructure, cybersecurity capabilities, and enterprise productivity tools positions it to fill this gap in a way that no single competitor can currently match. This opportunity requires monitoring now because the regulatory compliance market is evolving rapidly, and first-mover advantage will determine long-term competitive positioning (COSO, 2017).</w:t>
      </w:r>
    </w:p>
    <w:p>
      <w:pPr>
        <w:pStyle w:val="Heading2"/>
      </w:pPr>
      <w:r>
        <w:t xml:space="preserve">Impact Assessment</w:t>
      </w:r>
    </w:p>
    <w:p>
      <w:pPr>
        <w:spacing w:after="120" w:before="0" w:line="240"/>
        <w:jc w:val="both"/>
      </w:pPr>
      <w:r>
        <w:rPr>
          <w:rFonts w:ascii="Arial" w:cs="Arial" w:eastAsia="Arial" w:hAnsi="Arial"/>
          <w:color w:val="333333"/>
          <w:sz w:val="22"/>
          <w:szCs w:val="22"/>
        </w:rPr>
        <w:t xml:space="preserve">This positive risk carries financial and strategic impact dimensions. Successfully capitalizing on this opportunity could significantly increase Microsoft’s enterprise security revenue, drive Azure platform adoption among regulated industries, and create durable competitive moats through high switching costs (Fraser &amp; Simkins, 2016). The likelihood score is assessed at 4 (Likely) and the positive impact score at 4 (Major), producing a risk score of 16. Unlike the negative risks above, this score represents the magnitude of potential upside, and the mitigation strategies are designed to maximize rather than minimize the probability of occurrence (Hillson, 2009).</w:t>
      </w:r>
    </w:p>
    <w:p>
      <w:pPr>
        <w:pStyle w:val="Heading2"/>
      </w:pPr>
      <w:r>
        <w:t xml:space="preserve">Key Risk Indicator</w:t>
      </w:r>
    </w:p>
    <w:p>
      <w:pPr>
        <w:spacing w:after="120" w:before="0" w:line="240"/>
        <w:jc w:val="both"/>
      </w:pPr>
      <w:r>
        <w:rPr>
          <w:rFonts w:ascii="Arial" w:cs="Arial" w:eastAsia="Arial" w:hAnsi="Arial"/>
          <w:b/>
          <w:bCs/>
          <w:color w:val="333333"/>
          <w:sz w:val="22"/>
          <w:szCs w:val="22"/>
        </w:rPr>
        <w:t xml:space="preserve">KRI Metric (Leading Indicator): </w:t>
      </w:r>
      <w:r>
        <w:rPr>
          <w:rFonts w:ascii="Arial" w:cs="Arial" w:eastAsia="Arial" w:hAnsi="Arial"/>
          <w:color w:val="333333"/>
          <w:sz w:val="22"/>
          <w:szCs w:val="22"/>
        </w:rPr>
        <w:t xml:space="preserve">Qualified Enterprise Pipeline Growth Rate, defined as the month-over-month percentage increase in qualified enterprise leads requesting bundled Azure-security compliance solutions. This is a leading indicator because pipeline growth predicts future revenue conversion 3 to 6 months ahead, whereas closed deal counts are lagging indicators (COSO, 2017).</w:t>
      </w:r>
    </w:p>
    <w:p>
      <w:pPr>
        <w:spacing w:after="120" w:before="0" w:line="240"/>
        <w:jc w:val="both"/>
      </w:pPr>
      <w:r>
        <w:rPr>
          <w:rFonts w:ascii="Arial" w:cs="Arial" w:eastAsia="Arial" w:hAnsi="Arial"/>
          <w:b/>
          <w:bCs/>
          <w:color w:val="333333"/>
          <w:sz w:val="22"/>
          <w:szCs w:val="22"/>
        </w:rPr>
        <w:t xml:space="preserve">Data Source: </w:t>
      </w:r>
      <w:r>
        <w:rPr>
          <w:rFonts w:ascii="Arial" w:cs="Arial" w:eastAsia="Arial" w:hAnsi="Arial"/>
          <w:color w:val="333333"/>
          <w:sz w:val="22"/>
          <w:szCs w:val="22"/>
        </w:rPr>
        <w:t xml:space="preserve">Marketing automation platform lead scoring data, Sales pipeline reports from Dynamics 365, and partner referral tracking systems.</w:t>
      </w:r>
    </w:p>
    <w:p>
      <w:pPr>
        <w:pStyle w:val="Heading2"/>
      </w:pPr>
      <w:r>
        <w:t xml:space="preserve">KRI Threshold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Escalation Action</w:t>
            </w:r>
          </w:p>
        </w:tc>
      </w:tr>
      <w:tr>
        <w:tc>
          <w:tcPr>
            <w:tcW w:type="dxa" w:w="180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Green</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Pipeline growth rate at or above 15% month-over-month.</w:t>
            </w:r>
          </w:p>
        </w:tc>
        <w:tc>
          <w:tcPr>
            <w:tcW w:type="dxa" w:w="3780"/>
            <w:tcBorders>
              <w:top w:val="single" w:color="BBBBBB" w:sz="1"/>
              <w:left w:val="single" w:color="BBBBBB" w:sz="1"/>
              <w:bottom w:val="single" w:color="BBBBBB" w:sz="1"/>
              <w:right w:val="single" w:color="BBBBBB" w:sz="1"/>
            </w:tcBorders>
            <w:shd w:fill="C8E6C9" w:val="clear"/>
            <w:tcMar>
              <w:top w:type="dxa" w:w="80"/>
              <w:left w:type="dxa" w:w="120"/>
              <w:bottom w:type="dxa" w:w="80"/>
              <w:right w:type="dxa" w:w="120"/>
            </w:tcMar>
          </w:tcPr>
          <w:p>
            <w:r>
              <w:rPr>
                <w:rFonts w:ascii="Arial" w:cs="Arial" w:eastAsia="Arial" w:hAnsi="Arial"/>
                <w:color w:val="333333"/>
                <w:sz w:val="20"/>
                <w:szCs w:val="20"/>
              </w:rPr>
              <w:t xml:space="preserve">Opportunity is being captured as planned; continue current strategy and resource allocation.</w:t>
            </w:r>
          </w:p>
        </w:tc>
      </w:tr>
      <w:tr>
        <w:tc>
          <w:tcPr>
            <w:tcW w:type="dxa" w:w="18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Amber</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Pipeline growth rate between 8%–15% month-over-month.</w:t>
            </w:r>
          </w:p>
        </w:tc>
        <w:tc>
          <w:tcPr>
            <w:tcW w:type="dxa" w:w="378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CRO reviews marketing spend allocation; accelerate product bundling development; launch targeted campaigns in underperforming segments.</w:t>
            </w:r>
          </w:p>
        </w:tc>
      </w:tr>
      <w:tr>
        <w:tc>
          <w:tcPr>
            <w:tcW w:type="dxa" w:w="180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Red</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Pipeline growth rate falls below 8%, or pipeline volume declines.</w:t>
            </w:r>
          </w:p>
        </w:tc>
        <w:tc>
          <w:tcPr>
            <w:tcW w:type="dxa" w:w="3780"/>
            <w:tcBorders>
              <w:top w:val="single" w:color="BBBBBB" w:sz="1"/>
              <w:left w:val="single" w:color="BBBBBB" w:sz="1"/>
              <w:bottom w:val="single" w:color="BBBBBB" w:sz="1"/>
              <w:right w:val="single" w:color="BBBBBB"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Executive leadership evaluates whether go-to-market strategy requires repositioning; assess need for additional partnerships or acquisitions to capture the opportunity.</w:t>
            </w:r>
          </w:p>
        </w:tc>
      </w:tr>
    </w:tbl>
    <w:p>
      <w:pPr>
        <w:spacing w:after="120" w:before="200" w:line="240"/>
        <w:jc w:val="both"/>
      </w:pPr>
      <w:r>
        <w:rPr>
          <w:rFonts w:ascii="Arial" w:cs="Arial" w:eastAsia="Arial" w:hAnsi="Arial"/>
          <w:color w:val="333333"/>
          <w:sz w:val="22"/>
          <w:szCs w:val="22"/>
        </w:rPr>
        <w:t xml:space="preserve">This KRI was developed by recognizing that positive risks require monitoring with the same rigor as negative risks. The COSO (2017) framework explicitly states that ERM should encompass both upside and downside risk management. A declining pipeline growth rate for compliance-security solutions would indicate that Microsoft is failing to capitalize on a time-sensitive market opportunity, and early detection through this leading indicator allows leadership to adjust go-to-market strategies before the competitive window closes (Hopkin, 2018). The 15% threshold reflects the aggressive growth trajectory needed to establish market leadership within the first 18 months post-acquisition (Fraser &amp; Simkins, 2016).</w:t>
      </w:r>
    </w:p>
    <w:p>
      <w:r>
        <w:br w:type="page"/>
      </w:r>
    </w:p>
    <w:p>
      <w:pPr>
        <w:pStyle w:val="Heading1"/>
      </w:pPr>
      <w:r>
        <w:t xml:space="preserve">Technical Risk and Information Security Risk Considerations</w:t>
      </w:r>
    </w:p>
    <w:p>
      <w:pPr>
        <w:spacing w:after="120" w:before="0" w:line="240"/>
        <w:jc w:val="both"/>
      </w:pPr>
      <w:r>
        <w:rPr>
          <w:rFonts w:ascii="Arial" w:cs="Arial" w:eastAsia="Arial" w:hAnsi="Arial"/>
          <w:color w:val="333333"/>
          <w:sz w:val="22"/>
          <w:szCs w:val="22"/>
        </w:rPr>
        <w:t xml:space="preserve">Technical risk and information security risk are embedded throughout this analysis as critical dimensions of the competitive risk landscape. Risk 2 directly addresses both categories, as the integration of disparate technology platforms introduces system-level technical risks while simultaneously creating information security vulnerabilities that adversaries can exploit (COSO, 2017). However, these risk types also influence the other two competitive risks. In Risk 1, the technical complexity of integrating security architectures could slow product development cycles and reduce Microsoft’s ability to compete on innovation speed against agile competitors like CrowdStrike (Hopkin, 2018). In Risk 3, the technical feasibility of building a truly integrated compliance-security platform within the targeted timeline is a prerequisite for capturing the identified market opportunity. If technical integration delays push the product launch beyond the competitive window, the positive risk may fail to materialize (Fraser &amp; Simkins, 2016).</w:t>
      </w:r>
    </w:p>
    <w:p>
      <w:pPr>
        <w:spacing w:after="120" w:before="0" w:line="240"/>
        <w:jc w:val="both"/>
      </w:pPr>
      <w:r>
        <w:rPr>
          <w:rFonts w:ascii="Arial" w:cs="Arial" w:eastAsia="Arial" w:hAnsi="Arial"/>
          <w:color w:val="333333"/>
          <w:sz w:val="22"/>
          <w:szCs w:val="22"/>
        </w:rPr>
        <w:t xml:space="preserve">From an information security perspective, the acquisition creates an expanded threat surface that spans all three risks. Microsoft’s elevation to a dedicated cybersecurity provider increases its attractiveness as a target for sophisticated adversaries, and any security incident would have outsized competitive consequences given the nature of the business (Bromiley et al., 2015). The KRI for Risk 2 specifically monitors the accumulation of exploitable vulnerabilities, but information security awareness must be maintained across all integration workstreams, including those focused on competitive positioning and market development.</w:t>
      </w:r>
    </w:p>
    <w:p>
      <w:pPr>
        <w:pStyle w:val="Heading1"/>
      </w:pPr>
      <w:r>
        <w:t xml:space="preserve">Conclusion</w:t>
      </w:r>
    </w:p>
    <w:p>
      <w:pPr>
        <w:spacing w:after="120" w:before="0" w:line="240"/>
        <w:jc w:val="both"/>
      </w:pPr>
      <w:r>
        <w:rPr>
          <w:rFonts w:ascii="Arial" w:cs="Arial" w:eastAsia="Arial" w:hAnsi="Arial"/>
          <w:color w:val="333333"/>
          <w:sz w:val="22"/>
          <w:szCs w:val="22"/>
        </w:rPr>
        <w:t xml:space="preserve">This risk register and KRI analysis demonstrates that Microsoft’s proposed cybersecurity acquisition presents a complex competitive risk profile that requires systematic ERM oversight. The two negative risks—market share loss to specialized competitors and data breach during integration—represent material threats to the acquisition’s financial and strategic objectives. The positive risk—accelerated enterprise customer acquisition through bundled compliance-security offerings—represents a compelling upside opportunity that justifies the strategic rationale for the deal. By developing leading-indicator KRIs with clearly defined threshold structures and escalation protocols, Microsoft can monitor these competitive risks in real time and make data-driven decisions at each stage of the integration process (COSO, 2017; Hopkin, 2018). The integration of technical risk and information security risk considerations across all three risk areas ensures that the analysis reflects the full spectrum of challenges and opportunities inherent in a technology-sector acquisition of this nature.</w:t>
      </w:r>
    </w:p>
    <w:p>
      <w:r>
        <w:br w:type="page"/>
      </w:r>
    </w:p>
    <w:p>
      <w:pPr>
        <w:pStyle w:val="Heading1"/>
      </w:pPr>
      <w:r>
        <w:t xml:space="preserve">References</w:t>
      </w:r>
    </w:p>
    <w:p>
      <w:pPr>
        <w:spacing w:after="200" w:line="240"/>
        <w:ind w:left="720" w:hanging="720"/>
      </w:pPr>
      <w:r>
        <w:rPr>
          <w:rFonts w:ascii="Arial" w:cs="Arial" w:eastAsia="Arial" w:hAnsi="Arial"/>
          <w:color w:val="333333"/>
          <w:sz w:val="22"/>
          <w:szCs w:val="22"/>
        </w:rPr>
        <w:t xml:space="preserve">Bromiley, P., McShane, M., Nair, A., &amp; Rustambekov, E. (2015). Enterprise risk management: Review, critique, and research directions. Long Range Planning, 48(4), 265–276. https://doi.org/10.1016/j.lrp.2014.07.005</w:t>
      </w:r>
    </w:p>
    <w:p>
      <w:pPr>
        <w:spacing w:after="200" w:line="240"/>
        <w:ind w:left="720" w:hanging="720"/>
      </w:pPr>
      <w:r>
        <w:rPr>
          <w:rFonts w:ascii="Arial" w:cs="Arial" w:eastAsia="Arial" w:hAnsi="Arial"/>
          <w:color w:val="333333"/>
          <w:sz w:val="22"/>
          <w:szCs w:val="22"/>
        </w:rPr>
        <w:t xml:space="preserve">Committee of Sponsoring Organizations of the Treadway Commission. (2017). Enterprise risk management—Integrating with strategy and performance. COSO. https://www.coso.org/guidance-on-ic</w:t>
      </w:r>
    </w:p>
    <w:p>
      <w:pPr>
        <w:spacing w:after="200" w:line="240"/>
        <w:ind w:left="720" w:hanging="720"/>
      </w:pPr>
      <w:r>
        <w:rPr>
          <w:rFonts w:ascii="Arial" w:cs="Arial" w:eastAsia="Arial" w:hAnsi="Arial"/>
          <w:color w:val="333333"/>
          <w:sz w:val="22"/>
          <w:szCs w:val="22"/>
        </w:rPr>
        <w:t xml:space="preserve">Fraser, J. R. S., &amp; Simkins, B. J. (2016). The challenges of and solutions for implementing enterprise risk management. Business Horizons, 59(6), 689–698. https://doi.org/10.1016/j.bushor.2016.06.007</w:t>
      </w:r>
    </w:p>
    <w:p>
      <w:pPr>
        <w:spacing w:after="200" w:line="240"/>
        <w:ind w:left="720" w:hanging="720"/>
      </w:pPr>
      <w:r>
        <w:rPr>
          <w:rFonts w:ascii="Arial" w:cs="Arial" w:eastAsia="Arial" w:hAnsi="Arial"/>
          <w:color w:val="333333"/>
          <w:sz w:val="22"/>
          <w:szCs w:val="22"/>
        </w:rPr>
        <w:t xml:space="preserve">Hillson, D. (2009). Managing risk in projects. Gower Publishing. https://doi.org/10.4324/9781315237572</w:t>
      </w:r>
    </w:p>
    <w:p>
      <w:pPr>
        <w:spacing w:after="200" w:line="240"/>
        <w:ind w:left="720" w:hanging="720"/>
      </w:pPr>
      <w:r>
        <w:rPr>
          <w:rFonts w:ascii="Arial" w:cs="Arial" w:eastAsia="Arial" w:hAnsi="Arial"/>
          <w:color w:val="333333"/>
          <w:sz w:val="22"/>
          <w:szCs w:val="22"/>
        </w:rPr>
        <w:t xml:space="preserve">Hopkin, P. (2018). Fundamentals of risk management: Understanding, evaluating, and implementing effective risk management (5th ed.). Kogan Page.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Risk Register and KRI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line="2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lin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2026-03-02T00:17:58.391Z</dcterms:created>
  <dcterms:modified xsi:type="dcterms:W3CDTF">2026-03-02T00:17:58.392Z</dcterms:modified>
</cp:coreProperties>
</file>

<file path=docProps/custom.xml><?xml version="1.0" encoding="utf-8"?>
<Properties xmlns="http://schemas.openxmlformats.org/officeDocument/2006/custom-properties" xmlns:vt="http://schemas.openxmlformats.org/officeDocument/2006/docPropsVTypes"/>
</file>